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50BAA">
      <w:pPr>
        <w:spacing w:line="276" w:lineRule="auto"/>
        <w:jc w:val="center"/>
        <w:rPr>
          <w:rFonts w:hint="default" w:ascii="Times New Roman" w:hAnsi="Times New Roman" w:cs="Times New Roman"/>
          <w:b/>
          <w:bCs/>
          <w:sz w:val="28"/>
          <w:szCs w:val="28"/>
          <w:lang w:val="vi-VN"/>
        </w:rPr>
      </w:pPr>
      <w:bookmarkStart w:id="0" w:name="_Toc710"/>
      <w:bookmarkStart w:id="1" w:name="_Toc137729782"/>
      <w:r>
        <w:rPr>
          <w:rFonts w:ascii="Times New Roman" w:hAnsi="Times New Roman" w:cs="Times New Roman"/>
          <w:b/>
          <w:bCs/>
          <w:sz w:val="28"/>
          <w:szCs w:val="28"/>
        </w:rPr>
        <w:t>Kinh</w:t>
      </w:r>
      <w:r>
        <w:rPr>
          <w:rFonts w:ascii="Times New Roman" w:hAnsi="Times New Roman" w:cs="Times New Roman"/>
          <w:b/>
          <w:bCs/>
          <w:sz w:val="28"/>
          <w:szCs w:val="28"/>
          <w:lang w:val="vi-VN"/>
        </w:rPr>
        <w:t xml:space="preserve"> tế chú ý và marketing truyền thông xã hội</w:t>
      </w:r>
      <w:r>
        <w:rPr>
          <w:rFonts w:hint="default" w:ascii="Times New Roman" w:hAnsi="Times New Roman" w:cs="Times New Roman"/>
          <w:b/>
          <w:bCs/>
          <w:sz w:val="28"/>
          <w:szCs w:val="28"/>
          <w:lang w:val="vi-VN"/>
        </w:rPr>
        <w:t xml:space="preserve"> </w:t>
      </w:r>
    </w:p>
    <w:p w14:paraId="7174EF9B">
      <w:pPr>
        <w:spacing w:line="276" w:lineRule="auto"/>
        <w:jc w:val="right"/>
        <w:rPr>
          <w:rFonts w:hint="default" w:ascii="Times New Roman" w:hAnsi="Times New Roman" w:cs="Times New Roman"/>
          <w:b/>
          <w:bCs/>
          <w:i/>
          <w:iCs/>
          <w:sz w:val="26"/>
          <w:szCs w:val="26"/>
          <w:lang w:val="vi-VN"/>
        </w:rPr>
      </w:pPr>
      <w:r>
        <w:rPr>
          <w:rFonts w:hint="default" w:ascii="Times New Roman" w:hAnsi="Times New Roman" w:cs="Times New Roman"/>
          <w:b/>
          <w:bCs/>
          <w:i/>
          <w:iCs/>
          <w:sz w:val="26"/>
          <w:szCs w:val="26"/>
          <w:lang w:val="vi-VN"/>
        </w:rPr>
        <w:t>PGS.TS Nguyễn Văn Minh</w:t>
      </w:r>
    </w:p>
    <w:bookmarkEnd w:id="0"/>
    <w:bookmarkEnd w:id="1"/>
    <w:p w14:paraId="5716D100">
      <w:pPr>
        <w:numPr>
          <w:ilvl w:val="0"/>
          <w:numId w:val="12"/>
        </w:numPr>
        <w:spacing w:before="120" w:line="276" w:lineRule="auto"/>
        <w:jc w:val="both"/>
        <w:rPr>
          <w:rFonts w:ascii="Times New Roman" w:hAnsi="Times New Roman" w:cs="Times New Roman"/>
          <w:b/>
          <w:bCs/>
          <w:sz w:val="26"/>
          <w:szCs w:val="26"/>
        </w:rPr>
      </w:pPr>
      <w:r>
        <w:rPr>
          <w:rFonts w:hint="default" w:ascii="Times New Roman" w:hAnsi="Times New Roman" w:cs="Times New Roman"/>
          <w:b/>
          <w:bCs/>
          <w:sz w:val="26"/>
          <w:szCs w:val="26"/>
          <w:lang w:val="vi-VN"/>
        </w:rPr>
        <w:t>Tổng quan về nền kinh tế chú ý</w:t>
      </w:r>
      <w:r>
        <w:rPr>
          <w:rFonts w:ascii="Times New Roman" w:hAnsi="Times New Roman" w:cs="Times New Roman"/>
          <w:b/>
          <w:bCs/>
          <w:sz w:val="26"/>
          <w:szCs w:val="26"/>
        </w:rPr>
        <w:tab/>
      </w:r>
      <w:bookmarkStart w:id="2" w:name="_GoBack"/>
      <w:bookmarkEnd w:id="2"/>
    </w:p>
    <w:p w14:paraId="215CC139">
      <w:pPr>
        <w:spacing w:before="120" w:line="276"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1.1 Khái niệm nền kinh tế chú ý </w:t>
      </w:r>
      <w:r>
        <w:rPr>
          <w:rFonts w:ascii="Times New Roman" w:hAnsi="Times New Roman" w:cs="Times New Roman"/>
          <w:b/>
          <w:bCs/>
          <w:i/>
          <w:iCs/>
          <w:sz w:val="26"/>
          <w:szCs w:val="26"/>
        </w:rPr>
        <w:tab/>
      </w:r>
    </w:p>
    <w:p w14:paraId="7E6D6179">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Trong tiến trình phát triển của lý thuyết kinh tế hiện đại, sự chuyển dịch từ nền kinh tế sản xuất sang nền kinh tế tri thức đã tạo ra một sự bùng nổ về mặt thông tin. Tuy nhiên, theo quy luật cung - cầu cơ bản, khi một nguồn lực trở nên quá dư thừa nó sẽ làm nảy sinh sự khan hiếm ở một nguồn lực khác có liên quan. Trong bối cảnh kỷ nguyên số, nguồn lực khan hiếm đó chính là sự chú ý của con người. Khái niệm "Nền kinh tế chú ý" được ra đời để lý giải cách thức mà sự tập trung của cá nhân trở thành một loại tiền tệ mới, một tài sản chiến lược mà các thực thể kinh doanh phải tranh chấp quyết liệt để sở hữu.</w:t>
      </w:r>
    </w:p>
    <w:p w14:paraId="454160E2">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Khái niệm này được khởi xướng lần đầu bởi nhà tâm lý học và kinh tế học đoạt giải Nobel – Herbert A. Simon (1971): "Trong một thế giới giàu thông tin, sự phong phú của thông tin đồng nghĩa với sự thiếu hụt của một thứ khác: sự khan hiếm của bất kỳ thứ gì mà thông tin tiêu thụ. Những gì thông tin tiêu thụ khá rõ ràng: đó chính là sự chú ý của người nhận nó". Luận điểm này đã đặt nền móng cho việc nhìn nhận sự chú ý không chỉ là một trạng thái tâm lý mà là một nguồn lực kinh tế hữu hạn. Khi con người bị bủa vây bởi vô số thông báo, quảng cáo và nội dung giải trí khả năng xử lý nhận thức của họ trở nên quá tải dẫn đến việc họ phải chọn lọc khắt khe những gì đáng để dành thời gian tiếp nhận.</w:t>
      </w:r>
    </w:p>
    <w:p w14:paraId="782E96BD">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Tiếp nối tư tưởng của Simon, Thomas Davenport và John Beck (2001) đã cụ thể hóa khái niệm này dưới góc độ quản trị doanh nghiệp. Họ định nghĩa sự chú ý là sự tập trung trí tuệ vào một hạng mục thông tin cụ thể. Trong nền kinh tế chú ý, các doanh nghiệp không còn cạnh tranh thuần túy về giá cả hay tính năng sản phẩm mà cạnh tranh về khả năng mua được thời gian và sự tập trung của khách hàng. Đối với các nền tảng truyền thông xã hội, sự chú ý chính là sản phẩm cốt lõi, người dùng trả tiền cho các nội dung miễn phí bằng chính sự chú ý của họ và các nền tảng sau đó bán lại sự chú ý này cho các nhà quảng cáo.</w:t>
      </w:r>
    </w:p>
    <w:p w14:paraId="2E59CC4B">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Dưới góc độ marketing truyền thông xã hội, nền kinh tế chú ý phản ánh một thực tế khắc nghiệt: thông tin càng dễ tạo ra thì giá trị của sự chú ý càng tăng cao. Theo Goldhaber (1997), trong không gian số, sự chú ý có tính chất của một luồng năng lượng, ai chiếm giữ được sự chú ý người đó nắm giữ quyền lực điều hướng hành vi. Điều này buộc các nhà làm marketing phải thay đổi hoàn toàn tư duy tiếp cận, từ việc phát đi thông điệp đại chúng sang việc tạo ra các "điểm ngắt" có giá trị để thu hút sự tập trung của khách hàng giữa dòng chảy thông tin không ngừng nghỉ.</w:t>
      </w:r>
    </w:p>
    <w:p w14:paraId="45FF27FF">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Tóm lại, nền kinh tế chú ý là một mô hình kinh tế lấy sự tập trung nhận thức của con người làm hàng hóa trung tâm. Trong mô hình này, sự chú ý đóng vai trò là "cánh cửa" đầu tiên và quan trọng nhất dẫn đến mọi hành vi kinh tế tiếp theo như nhận thức thương hiệu, sự quan tâm và cuối cùng là quyết định mua sắm.</w:t>
      </w:r>
    </w:p>
    <w:p w14:paraId="68AE37CD">
      <w:pPr>
        <w:spacing w:before="120" w:line="276"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1.2. Các đặc điểm của nền kinh tế chú ý</w:t>
      </w:r>
    </w:p>
    <w:p w14:paraId="7E9FAF53">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Trong bối cảnh môi trường số hiện nay, nền kinh tế chú ý không vận hành như một thị trường tự do thông thường mà nó được điều tiết bởi những quy luật khắt khe của hạ tầng công nghệ và giới hạn sinh lý của bộ não người. Việc phân tích các đặc điểm này giúp làm rõ tại sao việc thu hút sự tập trung của độc giả lại trở thành một cuộc chiến khốc liệt và mang tính đào thải cao.</w:t>
      </w:r>
    </w:p>
    <w:p w14:paraId="4F160D05">
      <w:pPr>
        <w:spacing w:before="120" w:line="276"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Tính phân mảnh và sự suy giảm nhận thức sâu</w:t>
      </w:r>
    </w:p>
    <w:p w14:paraId="1BFE5B0D">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Đặc điểm nổi bật nhất của nền kinh tế chú ý chính là sự phân mảnh cực độ của dòng thời gian và không gian số. Khi người dùng tham gia vào môi trường truyền thông xã hội, sự chú ý của họ không còn là một khối thống nhất mà bị chia cắt thành vô số phân đoạn siêu nhỏ. Theo lý thuyết về "Sự quá tải nhận thức", việc chuyển đổi liên tục giữa các luồng thông tin từ Facebook, TikTok đến các thông báo đẩy đã tạo ra thói quen "đọc lướt" thay vì "đọc sâu". Hệ quả là, người dùng có xu hướng tiêu thụ những nội dung dạng lát cắt dễ tiêu hóa nhưng nhanh quên. Đối với các đơn vị xuất bản như Thái Hà Books, tính phân mảnh này là một "rào cản sinh lý", bởi hành vi đọc sách đòi hỏi một trạng thái "tập trung sâu" - thứ vốn đang bị xói mòn nghiêm trọng bởi sự đứt gãy liên tục của các nền tảng mạng xã hội (Davenport &amp; Beck, 2001).</w:t>
      </w:r>
    </w:p>
    <w:p w14:paraId="07F7BA39">
      <w:pPr>
        <w:spacing w:before="120" w:line="276"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Sự thống trị của thuật toán </w:t>
      </w:r>
    </w:p>
    <w:p w14:paraId="45AFCE89">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Nền kinh tế chú ý hiện đại không được điều hành bởi con người mà bởi các thuật toán trí tuệ nhân tạo (AI) có khả năng học sâu. Các nền tảng như Facebook hay TikTok không phân phối nội dung dựa trên giá trị khách quan của tri thức mà dựa trên khả năng tối ưu hóa chỉ số giữ chân người dùng. Thuật toán ưu tiên những nội dung gây kích thích mạnh nhằm kích hoạt dopamine buộc người dùng phải ở lại trên ứng dụng càng lâu càng tốt. Điều này tạo nên sự thống trị của thuật toán - nơi doanh nghiệp không chỉ cạnh tranh với nhau mà còn phải thỏa hiệp với các quy chuẩn kỹ thuật của nền tảng để thông điệp không bị rơi vào hố đen của sự lãng quên (Wu, 2017). Trong cuộc chơi này, nội dung giáo dục và tri thức vốn có tính chất chậm rãi và đòi hỏi tư duy hường bị xếp sau các nội dung giải trí mang tính bản năng trừ khi doanh nghiệp biết cách mã hóa tri thức thành những định dạng hấp dẫn thuật toán.</w:t>
      </w:r>
    </w:p>
    <w:p w14:paraId="04932F98">
      <w:pPr>
        <w:spacing w:before="120" w:line="276"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Chi phí cơ hội của sự chú ý </w:t>
      </w:r>
    </w:p>
    <w:p w14:paraId="1D959B2F">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Dưới góc độ kinh tế học hành vi, sự chú ý là một nguồn lực có giới hạn tuyệt đối: mỗi cá nhân chỉ có 24 giờ mỗi ngày và một mức năng lượng nhận thức nhất định. Do đó, sự chú ý trong kỷ nguyên số là một trò chơi có tổng bằng không (Zero-sum game). Khi người dùng quyết định dành 15 giây để xem một video ngắn, họ đồng thời phải đánh đổi bằng việc từ bỏ việc đọc một trích dẫn sách hoặc một bài phân tích chuyên sâu. Đây chính là chi phí cơ hội của sự chú ý. Sự chú ý bị đánh cắp bởi các thông tin giải trí "rẻ tiền" thường chiến thắng các giá trị tri thức bền vững vì chúng tiêu tốn ít nỗ lực nhận thức hơn. Điều này đặt ra yêu cầu cấp thiết cho marketing truyền thông xã hội đó là phải làm sao để giá trị của việc chú ý vào sách vượt qua được sự hấp dẫn của các lựa chọn giải trí tức thời khác (Goldhaber, 1997).</w:t>
      </w:r>
    </w:p>
    <w:p w14:paraId="0F6F200F">
      <w:pPr>
        <w:spacing w:before="120" w:line="276"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Sự lạm phát nội dung và ngưỡng chú ý ngày càng cao</w:t>
      </w:r>
    </w:p>
    <w:p w14:paraId="352DABF4">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Một đặc điểm hệ quả của nền kinh tế chú ý là sự lạm phát thông tin dẫn đến sự chai sạn về cảm xúc của người dùng. Khi mỗi giây có hàng nghìn bài đăng được tải lên, ngưỡng chú ý của con người sẽ ngày càng bị đẩy lên cao. Những thông điệp thông thường sẽ bị bộ não tự động sàng lọc và loại bỏ. Doanh nghiệp giờ đây phải đối mặt với hội chứng "mệt mỏi vì nội dung" (Content Fatigue) - nơi khách hàng có xu hướng lướt qua mọi thứ trừ khi nó thực sự gây sốc hoặc mang lại lợi ích cá nhân hóa cực độ. Điều này buộc các chiến dịch marketing truyền thông xã hội phải dịch chuyển từ việc "nói về mình" sang việc "giải quyết nỗi đau" của khách hàng một cách trực diện và nhanh chóng nhất có thể.</w:t>
      </w:r>
    </w:p>
    <w:p w14:paraId="342A7493">
      <w:pPr>
        <w:spacing w:before="120" w:line="276"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1.3. Cơ chế hoạt động của sự chú ý trên không gian số</w:t>
      </w:r>
    </w:p>
    <w:p w14:paraId="5BC70970">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 xml:space="preserve">Trong môi trường </w:t>
      </w:r>
      <w:r>
        <w:rPr>
          <w:rFonts w:ascii="Times New Roman" w:hAnsi="Times New Roman" w:cs="Times New Roman"/>
          <w:sz w:val="26"/>
          <w:szCs w:val="26"/>
          <w:lang w:val="vi-VN"/>
        </w:rPr>
        <w:t>số</w:t>
      </w:r>
      <w:r>
        <w:rPr>
          <w:rFonts w:ascii="Times New Roman" w:hAnsi="Times New Roman" w:cs="Times New Roman"/>
          <w:sz w:val="26"/>
          <w:szCs w:val="26"/>
        </w:rPr>
        <w:t>, sự chú ý không vận hành như một trạng thái tĩnh mà là một tiến trình lựa chọn và lọc bỏ thông tin diễn ra với tốc độ cực nhanh. Cơ chế này được điều tiết bởi sự tương tác giữa các kích thích bên ngoài (hệ thống kỹ thuật) và các phản ứng nội tại (hệ thống thần kinh). Về mặt lý luận, cơ chế hoạt động của sự chú ý trên không gian số được cấu thành từ ba giai đoạn chuyển tiếp mang tính hệ thống:</w:t>
      </w:r>
    </w:p>
    <w:p w14:paraId="7DC1E5F3">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 xml:space="preserve">Giai đoạn 1: Cơ chế lọc sơ cấp và sự bắt giữ chú ý vô thức </w:t>
      </w:r>
    </w:p>
    <w:p w14:paraId="129F9A6F">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Giai đoạn đầu tiên của sự chú ý trên không gian mạng diễn ra ở mức độ dưới ý thức, nơi bộ não thực hiện chức năng quét nhanh để phát hiện các tác nhân nổi bật. Theo lý thuyết về “Salience Theory”, sự chú ý của con người bị chiếm hữu bởi các yếu tố có tính chất tương phản cao hoặc chuyển động bất ngờ so với môi trường xung quanh.</w:t>
      </w:r>
    </w:p>
    <w:p w14:paraId="0FF4513F">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Trong không gian số, cơ chế này hoạt động dựa trên sự ngắt quãng. Khi người dùng thực hiện hành vi “lướt’, bộ não sử dụng hệ thống lọc sơ cấp để loại bỏ 99% thông tin gây nhiễu và chỉ dừng lại ở những tín hiệu có cường độ kích thích mạnh nhất. Ở giai đoạn này, sự chú ý mang tính chất bị động hoàn toàn phụ thuộc vào đặc tính vật lý của thông điệp như màu sắc, hình ảnh động hoặc tiêu đề mang tính chất gây tò mò cao. Đây là rào cản đầu tiên mà bất kỳ chủ thể truyền thông nào cũng phải vượt qua để tồn tại trong nhận thức của người dùng.</w:t>
      </w:r>
    </w:p>
    <w:p w14:paraId="2ADD84DA">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Giai đoạn 2: Cơ chế duy trì và vòng lặp phản hồi thần kinh</w:t>
      </w:r>
    </w:p>
    <w:p w14:paraId="0F3E640F">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Khi một thông điệp vượt qua được bộ lọc sơ cấp, cơ chế chú ý chuyển sang giai đoạn duy trì thông qua việc kích hoạt các trung tâm phần thưởng trong não bộ. Cơ chế này vận hành dựa trên "hệ thống dopamine" - một chất dẫn truyền thần kinh điều khiển cảm giác tìm tòi và thỏa mãn.</w:t>
      </w:r>
    </w:p>
    <w:p w14:paraId="67914427">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Không gian số hiện đại được thiết kế dựa trên lý thuyết về "Phần thưởng biến đổi" (Variable Rewards) của B.F. Skinner. Khi người dùng tương tác với một nội dung và nhận thấy sự mới lạ hoặc giá trị giải trí, bộ não tiết ra dopamine tạo ra một cảm giác thỏa mãn ngắn hạn và thúc đẩy nhu cầu tiếp tục tập trung để tìm kiếm "phần thưởng" tiếp theo. Đây là cơ chế khiến sự chú ý bị "giam cầm" trong các vòng lặp nội dung. Sự chú ý lúc này chuyển dịch từ trạng thái bị động sang trạng thái chủ động có điều kiện, nơi thời gian hiển thị trên màn hình trở thành thước đo chính xác nhất cho sức mạnh của sự chú ý đã được duy trì.</w:t>
      </w:r>
    </w:p>
    <w:p w14:paraId="4AF0688E">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Giai đoạn 3: Cơ chế tập trung sâu và sự tham gia nhận thức</w:t>
      </w:r>
    </w:p>
    <w:p w14:paraId="03E7E801">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Giai đoạn cuối cùng và cao nhất của sự chú ý là sự chuyển hóa từ việc tiêu thụ thụ động sang sự xử lý nhận thức có mục đích. Theo mô hình "Hệ thống tư duy kép" (Dual Process Theory) của Daniel Kahneman, sau khi trải qua sự hưng phấn tức thời của hệ thống 1 (nhanh, bản năng), sự chú ý cần được chuyển giao cho hệ thống 2 (chậm, logic) để thực hiện việc ghi nhớ và phân tích.</w:t>
      </w:r>
    </w:p>
    <w:p w14:paraId="72BC2EB9">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Ở giai đoạn này, cơ chế chú ý phụ thuộc vào sự liên quan cá nhân và tải trọng nhận thức. Nếu nội dung quá phức tạp hoặc không tạo ra giá trị kết nối với hệ thống niềm tin, tri thức sẵn có của cá nhân, bộ não sẽ thực hiện cơ chế tự vệ bằng cách "ngắt kết nối" để bảo toàn năng lượng. Do đó, sự chú ý trên không gian số chỉ thực sự hoàn tất chu trình khi nó tạo ra được một sự đồng điệu về mặt giá trị, chuyển hóa từ một ánh nhìn thoáng qua thành một sự ghi nhớ dài hạn trong cấu trúc nhận thức của chủ thể.</w:t>
      </w:r>
    </w:p>
    <w:p w14:paraId="38597089">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Tóm lại, cơ chế chú ý trên không gian số là một phễu lọc khắc nghiệt đi từ kích thích bản năng qua duy trì bằng hóa học thần kinh đến xác lập giá trị nhận thức. Việc nắm vững quy luật này là cơ sở lý luận quan trọng để phân tích cách thức mà các chiến dịch marketing truyền thông xã hội tác động vào hành vi người tiêu dùng trong nền kinh tế chú ý.</w:t>
      </w:r>
    </w:p>
    <w:p w14:paraId="5A3EFF06">
      <w:pPr>
        <w:spacing w:before="120" w:line="276" w:lineRule="auto"/>
        <w:jc w:val="both"/>
        <w:rPr>
          <w:rFonts w:ascii="Times New Roman" w:hAnsi="Times New Roman" w:cs="Times New Roman"/>
          <w:b/>
          <w:bCs/>
          <w:i w:val="0"/>
          <w:iCs w:val="0"/>
          <w:sz w:val="26"/>
          <w:szCs w:val="26"/>
        </w:rPr>
      </w:pPr>
      <w:r>
        <w:rPr>
          <w:rFonts w:hint="default" w:ascii="Times New Roman" w:hAnsi="Times New Roman" w:cs="Times New Roman"/>
          <w:b/>
          <w:bCs/>
          <w:i w:val="0"/>
          <w:iCs w:val="0"/>
          <w:sz w:val="26"/>
          <w:szCs w:val="26"/>
          <w:lang w:val="vi-VN"/>
        </w:rPr>
        <w:t>2</w:t>
      </w:r>
      <w:r>
        <w:rPr>
          <w:rFonts w:ascii="Times New Roman" w:hAnsi="Times New Roman" w:cs="Times New Roman"/>
          <w:b/>
          <w:bCs/>
          <w:i w:val="0"/>
          <w:iCs w:val="0"/>
          <w:sz w:val="26"/>
          <w:szCs w:val="26"/>
        </w:rPr>
        <w:t>. Marketing truyền thông xã hội trong bối cảnh nền kinh tế chú ý</w:t>
      </w:r>
    </w:p>
    <w:p w14:paraId="3DCA7F6B">
      <w:pPr>
        <w:spacing w:before="120" w:line="276" w:lineRule="auto"/>
        <w:jc w:val="both"/>
        <w:rPr>
          <w:rFonts w:ascii="Times New Roman" w:hAnsi="Times New Roman" w:cs="Times New Roman"/>
          <w:b/>
          <w:bCs/>
          <w:i/>
          <w:iCs/>
          <w:sz w:val="26"/>
          <w:szCs w:val="26"/>
        </w:rPr>
      </w:pPr>
      <w:r>
        <w:rPr>
          <w:rFonts w:hint="default" w:ascii="Times New Roman" w:hAnsi="Times New Roman" w:cs="Times New Roman"/>
          <w:b/>
          <w:bCs/>
          <w:i/>
          <w:iCs/>
          <w:sz w:val="26"/>
          <w:szCs w:val="26"/>
          <w:lang w:val="vi-VN"/>
        </w:rPr>
        <w:t>2</w:t>
      </w:r>
      <w:r>
        <w:rPr>
          <w:rFonts w:ascii="Times New Roman" w:hAnsi="Times New Roman" w:cs="Times New Roman"/>
          <w:b/>
          <w:bCs/>
          <w:i/>
          <w:iCs/>
          <w:sz w:val="26"/>
          <w:szCs w:val="26"/>
        </w:rPr>
        <w:t>.1. Sự thay đổi trong hành vi khách hàng</w:t>
      </w:r>
    </w:p>
    <w:p w14:paraId="1C86F77A">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Trong sự vận động không ngừng của nền kinh tế chú ý, hành vi của khách hàng đã trải qua một cuộc cách mạng về mặt cấu trúc nhận thức: chuyển dịch từ việc tiếp nhận thông tin có hệ thống sang hình thái tiêu thụ phân mảnh. Điểm khởi đầu cho sự thay đổi này chính là sự sụt giảm mạnh mẽ của ngưỡng tập trung. Dưới tác động của dòng chảy thông tin liên tục và các thông báo đẩy từ các thiết bị thông minh, khả năng duy trì sự tập trung sâu của con người đã bị rút ngắn đáng kể. Theo các nghiên cứu về tâm lý học hành vi số (Microsoft, 2015), ngưỡng tập trung trung bình đã suy giảm từ 12 giây xuống còn khoảng 8 giây, tạo ra một thế hệ khách hàng có thói quen "quét" (scanning) thay vì "đọc" (reading). Hệ quả là, các thông điệp marketing mang tính diễn giải dài dòng theo mô hình truyền thống không còn khả năng xuyên thủng được "bộ lọc xao nhãng" của người dùng, buộc các thương hiệu phải thực hiện những cú chạm thông tin cực ngắn nhưng có cường độ kích thích cao.</w:t>
      </w:r>
    </w:p>
    <w:p w14:paraId="00D0C15D">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Sự suy giảm khả năng tập trung đã trực tiếp dẫn đến sự trỗi dậy của mô hình tiêu thụ nội dung nhanh, hay còn gọi là Snack-content. Đây không chỉ là một xu hướng về định dạng mà là một phản ứng thích nghi của khách hàng trước sự quá tải nhận thức. Snack-content vận hành dựa trên lý thuyết về "tải trọng nhận thức thấp" cung cấp những lát cắt thông tin nhỏ, dễ tiêu hóa và mang lại giá trị giải trí hoặc kiến thức tức thì dưới dạng video ngắn (TikTok, Reels) hay infographic. Khách hàng hiện đại có xu hướng ưu tiên các nội dung có thể tiêu thụ trong khoảnh khắc ngắn - những khoảng trống thời gian giữa các hoạt động thường nhật. Hành vi này đã làm thay đổi hoàn toàn logic tiếp thị: doanh nghiệp không còn đóng vai trò là người kể một câu chuyện dài kỳ mà phải trở thành người cung cấp các "điểm chạm dopamine" giúp khách hàng thỏa mãn nhu cầu thông tin ngay lập tức mà không tiêu tốn quá nhiều năng lượng tư duy.</w:t>
      </w:r>
    </w:p>
    <w:p w14:paraId="6396CF8B">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Hơn thế nữa, sự dịch chuyển này còn đánh dấu sự sụp đổ của mô hình tiếp nhận thông tin thụ động để nhường chỗ cho quyền kiểm soát chủ động của khách hàng. Trong quá khứ, các chiến dịch marketing thường mang tính chất xâm lấn buộc khách hàng phải xem quảng cáo để đổi lấy nội dung. Tuy nhiên, trong nền kinh tế chú ý, với hành vi "vuốt và bỏ qua", khách hàng đã thiết lập một quyền lực tuyệt đối trong việc lựa chọn những gì xứng đáng với thời gian của họ. Sự thay đổi này đẩy các nhà làm marketing truyền thông xã hội vào một cuộc đua khốc liệt hơn: từ bỏ tư duy áp đặt để chuyển sang tư duy thu hút. Để chiến thắng, thông điệp không chỉ cần "đúng" về mặt nội dung mà còn phải "trúng" về mặt thời điểm và cảm xúc, biến việc tiêu thụ nội dung nhanh thành một trải nghiệm cá nhân hóa nơi khách hàng cảm thấy họ đang được phục vụ thay vì đang bị quảng cáo.</w:t>
      </w:r>
    </w:p>
    <w:p w14:paraId="2BA501A2">
      <w:pPr>
        <w:spacing w:before="120" w:line="276" w:lineRule="auto"/>
        <w:jc w:val="both"/>
        <w:rPr>
          <w:rFonts w:hint="default" w:ascii="Times New Roman" w:hAnsi="Times New Roman" w:cs="Times New Roman"/>
          <w:b/>
          <w:bCs/>
          <w:i/>
          <w:iCs/>
          <w:sz w:val="26"/>
          <w:szCs w:val="26"/>
          <w:lang w:val="vi-VN"/>
        </w:rPr>
      </w:pPr>
      <w:r>
        <w:rPr>
          <w:rFonts w:hint="default" w:ascii="Times New Roman" w:hAnsi="Times New Roman" w:cs="Times New Roman"/>
          <w:b/>
          <w:bCs/>
          <w:i/>
          <w:iCs/>
          <w:sz w:val="26"/>
          <w:szCs w:val="26"/>
          <w:lang w:val="vi-VN"/>
        </w:rPr>
        <w:t>2.2. Vấn đề lượt tiếp cận không còn quan trọng bằng thời gian khách hàng dừng lại xem nội dung</w:t>
      </w:r>
    </w:p>
    <w:p w14:paraId="743C65A3">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 xml:space="preserve">Trong mô hình marketing truyền thống và giai đoạn đầu của kỷ nguyên </w:t>
      </w:r>
      <w:r>
        <w:rPr>
          <w:rFonts w:ascii="Times New Roman" w:hAnsi="Times New Roman" w:cs="Times New Roman"/>
          <w:sz w:val="26"/>
          <w:szCs w:val="26"/>
          <w:lang w:val="vi-VN"/>
        </w:rPr>
        <w:t>số</w:t>
      </w:r>
      <w:r>
        <w:rPr>
          <w:rFonts w:ascii="Times New Roman" w:hAnsi="Times New Roman" w:cs="Times New Roman"/>
          <w:sz w:val="26"/>
          <w:szCs w:val="26"/>
        </w:rPr>
        <w:t>, lượt tiếp cận luôn được coi là chỉ số tối thượng để đo lường sức mạnh của một chiến dịch truyền thông. Quan điểm này dựa trên lý thuyết xác suất: doanh nghiệp tiếp cận càng nhiều người thì khả năng tạo ra chuyển đổi càng cao. Tuy nhiên, trong bối cảnh nền kinh tế chú ý bị lạm phát nội dung, lượt tiếp cận thuần túy đã dần trở thành một "chỉ số phù phiếm"  (Neff, 2010). Việc một thông điệp xuất hiện trên dòng thời gian của người dùng không còn đồng nghĩa với việc nó được họ thực sự ghi nhận. Hiện tượng "mù quảng cáo" và hành vi lướt web vô thức đã khiến hàng triệu lượt hiển thị trở nên vô nghĩa nếu không tạo ra được một điểm chạm thực sự vào hệ thống nhận thức. Do đó, trọng tâm của marketing truyền thông xã hội hiện đại đã dịch chuyển sang một chiến thuật quyết liệt hơn: sử dụng sự gây nhiễu để bắt giữ và sự giữ chân để sở hữu sự tập trung của khách hàng.</w:t>
      </w:r>
    </w:p>
    <w:p w14:paraId="4C140A7C">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Chiến lược "gây nhiễu" đóng vai trò là một kỹ thuật ngắt quãng dòng ý thức của đối tượng mục tiêu. Khi người dùng đang ở trạng thái tiêu thụ thông tin thụ động, não bộ sẽ tự động sàng lọc và loại bỏ các nội dung có cấu trúc quen thuộc hoặc mang tính quảng cáo lộ liễu (Kahneman, 2011). Để tồn tại trong nhận thức của khách hàng, thông điệp marketing buộc phải tạo ra một điểm đứt gãy về mặt thị giác hoặc cảm xúc ngay trong 2-3 giây đầu tiên. Sự gây nhiễu này chính là cơ chế để doanh nghiệp chiếm quyền kiểm soát hệ thống lọc sơ cấp của não bộ biến một lượt tiếp cận thụ động trở thành một khoảnh khắc chú ý chủ động. Về mặt quản trị, đây là quá trình tối ưu hóa các yếu tố "Stop-scrolling" nhằm buộc người dùng phải đình chỉ hành vi lướt web để tìm hiểu nội dung, từ đó tạo ra cơ hội đầu tiên cho việc truyền tải giá trị thương hiệu (Milosavljevic &amp; Cerf, 2008).</w:t>
      </w:r>
    </w:p>
    <w:p w14:paraId="37E32305">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Tuy nhiên, nếu gây nhiễu là điều kiện cần để khởi động một cuộc đối thoại, thì "giữ chân" mới là điều kiện đủ để tạo ra giá trị kinh tế bền vững. Trong nền kinh tế chú ý, thời gian khách hàng dừng lại xem nội dung và tỷ lệ xem hết có giá trị cao hơn nhiều so với lượt tiếp cận đơn thuần. Thời gian giữ chân không chỉ tỷ lệ thuận với mức độ thẩm thấu thông điệp mà còn là bằng chứng cho sự tin cậy. Khi người dùng dành thời gian cho một nội dung, họ đang thực hiện một khoản "đầu tư tâm lý" vào thương hiệu (Teixeira, 2014). Thuật toán của các nền tảng mạng xã hội hiện nay cũng được thiết kế để ưu tiên những nội dung có khả năng giữ chân người dùng lâu nhất, coi đó là chỉ số quan trọng nhất để đánh giá chất lượng và quyết định sự lan tỏa của nội dung đó.</w:t>
      </w:r>
    </w:p>
    <w:p w14:paraId="1FC346D8">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Cuối cùng, sự dịch chuyển này phản ánh một triết lý quản trị mới: Sở hữu sự chú ý có chiều sâu quan trọng hơn sở hữu lượt tiếp cận diện rộng. Một chiến dịch có quy mô tiếp cận nhỏ nhưng tỷ lệ giữ chân và tương tác sâu cao sẽ tạo ra hiệu quả chuyển đổi mạnh mẽ hơn một chiến dịch phủ rộng nhưng bị khách hàng phớt lờ. Đối với các doanh nghiệp kinh doanh sản phẩm tri thức, việc tối ưu hóa thời lượng chú ý của khách hàng chính là cách thức để "nuôi dưỡng" nhu cầu. Chỉ khi khách hàng dừng lại đủ lâu để vượt qua sự xao nhãng của môi trường xung quanh, thông điệp về giá trị sản phẩm mới có cơ hội chuyển hóa từ một sự tò mò nhất thời thành một quyết định mua hàng thực thụ giúp doanh nghiệp đạt được mục tiêu cuối cùng là sự trung thành của khách hàng giữa một kỷ nguyên số đầy rẫy sự biến động (Wu, 2017).</w:t>
      </w:r>
    </w:p>
    <w:p w14:paraId="21817FA6">
      <w:pPr>
        <w:spacing w:before="120" w:line="276" w:lineRule="auto"/>
        <w:jc w:val="both"/>
        <w:rPr>
          <w:rFonts w:ascii="Times New Roman" w:hAnsi="Times New Roman" w:cs="Times New Roman"/>
          <w:b/>
          <w:bCs/>
          <w:i/>
          <w:iCs/>
          <w:sz w:val="26"/>
          <w:szCs w:val="26"/>
        </w:rPr>
      </w:pPr>
      <w:r>
        <w:rPr>
          <w:rFonts w:hint="default" w:ascii="Times New Roman" w:hAnsi="Times New Roman" w:cs="Times New Roman"/>
          <w:b/>
          <w:bCs/>
          <w:i/>
          <w:iCs/>
          <w:sz w:val="26"/>
          <w:szCs w:val="26"/>
          <w:lang w:val="vi-VN"/>
        </w:rPr>
        <w:t>2</w:t>
      </w:r>
      <w:r>
        <w:rPr>
          <w:rFonts w:ascii="Times New Roman" w:hAnsi="Times New Roman" w:cs="Times New Roman"/>
          <w:b/>
          <w:bCs/>
          <w:i/>
          <w:iCs/>
          <w:sz w:val="26"/>
          <w:szCs w:val="26"/>
        </w:rPr>
        <w:t>.3. Mô hình tâm lý khách hàng mới: Thay đổi từ AIDA truyền thống sang các mô hình hiện đại hơn như AISAS hay mô hình 5A của Philip Kotler.</w:t>
      </w:r>
    </w:p>
    <w:p w14:paraId="000AB91C">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 xml:space="preserve">Trong lịch sử Marketing, mô hình AIDA (Attention - Interest - Desire - Action) đã đóng vai trò là "kim chỉ nam" cho việc phân tích hành trình khách hàng qua nhiều thập kỷ. Tuy nhiên, dưới áp lực của nền kinh tế chú ý và sự bùng nổ của mạng xã hội, mô hình tuyến tính này đã bộc lộ những hạn chế đáng kể khi bỏ qua tính đa chiều của môi trường số. Sự xao nhãng </w:t>
      </w:r>
      <w:r>
        <w:rPr>
          <w:rFonts w:ascii="Times New Roman" w:hAnsi="Times New Roman" w:cs="Times New Roman"/>
          <w:sz w:val="26"/>
          <w:szCs w:val="26"/>
          <w:lang w:val="vi-VN"/>
        </w:rPr>
        <w:t>số</w:t>
      </w:r>
      <w:r>
        <w:rPr>
          <w:rFonts w:ascii="Times New Roman" w:hAnsi="Times New Roman" w:cs="Times New Roman"/>
          <w:sz w:val="26"/>
          <w:szCs w:val="26"/>
        </w:rPr>
        <w:t xml:space="preserve"> khiến cho việc chuyển đổi từ "Mong muốn" (Desire) sang "Hành động" (Action) không còn diễn ra một cách liên tục. Thay vào đó, hành trình của khách hàng hiện đại trở nên phức tạp hơn, đòi hỏi các mô hình mới như AISAS và 5A để phản ánh chính xác sự thay đổi trong cấu trúc tâm lý của người dùng (Kotler et al., 2017).</w:t>
      </w:r>
    </w:p>
    <w:p w14:paraId="366C0452">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Sự thay đổi quan trọng đầu tiên được ghi nhận trong mô hình AISAS (Attention - Interest - Search - Action - Share). Điểm đột phá của mô hình này chính là sự xuất hiện của hai nhân tố: Search (Tìm kiếm) và Share (Chia sẻ). Trong bối cảnh thông tin dư thừa, sau khi bị thu hút sự chú ý và nảy sinh sự quan tâm, khách hàng không đi thẳng đến hành động mua mà thực hiện cơ chế tự vệ bằng cách tìm kiếm và xác thực thông tin. Tìm kiếm đóng vai trò là bộ lọc giúp người dùng kiểm soát sự xao nhãng và khẳng định tính đúng đắn của sự lựa chọn. Đặc biệt, giai đoạn chia sẻ đã biến khách hàng từ điểm cuối của hành trình thành điểm khởi đầu cho một chu kỳ chú ý mới. Việc chia sẻ không chỉ là hành vi lan tỏa mà còn là cách khách hàng khẳng định căn tính cá nhân trên mạng xã hội, tạo ra hiệu ứng truyền miệng điện tử (eWOM)- thứ tài sản có quyền năng hơn bất kỳ quảng cáo trả phí nào trong việc thu hút sự chú ý của cộng đồng (Daugherty et al., 2008).</w:t>
      </w:r>
    </w:p>
    <w:p w14:paraId="68EE8A84">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Tiếp nối sự tiến hóa đó, Philip Kotler (2017) đã đề xuất mô hình 5A (Aware - Appeal - Ask - Act - Advocate) trong kỷ nguyên Marketing 4.0 để cụ thể hóa tâm lý khách hàng trong nền kinh tế kết nối. Ở mô hình này, giai đoạn Appeal (Thu hút) và Ask (Hỏi) đóng vai trò trung tâm trong việc quản trị sự chú ý. Vì sự chú ý là nguồn lực khan hiếm, khách hàng có xu hướng sàng lọc khắt khe hơn: họ chỉ đặt câu hỏi và tìm hiểu sâu khi thương hiệu thực sự gây được ấn tượng mạnh. Đáng chú ý nhất là giai đoạn cuối Advocate (Ủng hộ) - nơi khách hàng trở thành những người bảo chứng cho thương hiệu. Trong một môi trường mà sự tập trung bị phân mảnh, lời khuyên từ những người ủng hộ chính là nguồn chú ý tin cậy nhất giúp thương hiệu vượt qua rào cản của sự hoài nghi và thu hút sự chú ý của khách hàng mới một cách tự nhiên.</w:t>
      </w:r>
    </w:p>
    <w:p w14:paraId="2244D16E">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Sự dịch chuyển từ AIDA sang các mô hình hiện đại như AISAS và 5A phản ánh một thực tế khách quan đólà sự chú ý của khách hàng không còn là một đường thẳng mà là một mạng lưới tương tác. Trong mạng lưới đó, việc thu hút sự chú ý chỉ là khởi đầu, chìa khóa của thành công nằm ở việc quản trị sự chú ý xuyên suốt từ giai đoạn tìm kiếm đến khi khách hàng sẵn sàng chia sẻ và ủng hộ thương hiệu</w:t>
      </w:r>
    </w:p>
    <w:p w14:paraId="45233CE1">
      <w:pPr>
        <w:spacing w:before="120" w:line="276" w:lineRule="auto"/>
        <w:jc w:val="both"/>
        <w:rPr>
          <w:rFonts w:hint="default" w:ascii="Times New Roman" w:hAnsi="Times New Roman" w:cs="Times New Roman"/>
          <w:b/>
          <w:bCs/>
          <w:i/>
          <w:iCs/>
          <w:sz w:val="26"/>
          <w:szCs w:val="26"/>
          <w:lang w:val="vi-VN"/>
        </w:rPr>
      </w:pPr>
      <w:r>
        <w:rPr>
          <w:rFonts w:hint="default" w:ascii="Times New Roman" w:hAnsi="Times New Roman" w:cs="Times New Roman"/>
          <w:b/>
          <w:bCs/>
          <w:i/>
          <w:iCs/>
          <w:sz w:val="26"/>
          <w:szCs w:val="26"/>
          <w:lang w:val="vi-VN"/>
        </w:rPr>
        <w:t>2</w:t>
      </w:r>
      <w:r>
        <w:rPr>
          <w:rFonts w:ascii="Times New Roman" w:hAnsi="Times New Roman" w:cs="Times New Roman"/>
          <w:b/>
          <w:bCs/>
          <w:i/>
          <w:iCs/>
          <w:sz w:val="26"/>
          <w:szCs w:val="26"/>
        </w:rPr>
        <w:t>.4. Các chỉ số đo lường sự chú ý (Attention Metrics)</w:t>
      </w:r>
      <w:r>
        <w:rPr>
          <w:rFonts w:hint="default" w:ascii="Times New Roman" w:hAnsi="Times New Roman" w:cs="Times New Roman"/>
          <w:b/>
          <w:bCs/>
          <w:i/>
          <w:iCs/>
          <w:sz w:val="26"/>
          <w:szCs w:val="26"/>
          <w:lang w:val="vi-VN"/>
        </w:rPr>
        <w:t xml:space="preserve"> trong marketing truyền thông xã hội</w:t>
      </w:r>
    </w:p>
    <w:p w14:paraId="73E36E5C">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Trong quản trị marketing truyền thông xã hội truyền thống, các doanh nghiệp thường dựa vào các chỉ số tiếp cận như lượt hiển thị (Impressions) hay lượt tiếp cận (Reach) để đánh giá mức độ thành công. Tuy nhiên, trong bối cảnh nền kinh tế chú ý bị bão hòa, các chỉ số này bắt đầu bộc lộ những hạn chế khi chỉ phản ánh khả năng xuất hiện mà không chứng minh được sự tác động thực sự đến nhận thức người dùng (Neff, 2010). Do đó, một hệ thống các chỉ số đo lường sự chú ý mới (Attention Metrics) đã ra đời, tập trung vào việc định lượng chiều sâu của sự tập trung thay vì quy mô của sự hiển thị.</w:t>
      </w:r>
    </w:p>
    <w:p w14:paraId="770DAB77">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Chỉ số quan trọng đầu tiên trong hệ thống này là thời gian dừng (Dwell Time) và tỷ lệ xem hết (Completion Rate). Thay vì chỉ ghi nhận một lượt "Click" -  vốn có thể là hành vi ngẫu nhiên hoặc sai lầm các chỉ số này đo lường chính xác khoảng thời gian mà người dùng thực sự dừng lại để tiêu thụ nội dung. Theo nghiên cứu của Teixeira (2014), thời lượng chú ý tỷ lệ thuận với khả năng ghi nhớ thương hiệu và sự thấu hiểu thông điệp. Trong môi trường video ngắn như hiện nay, tỷ lệ xem lại (Re-watch Rate) cũng trở thành một thước đo đắt giá, minh chứng cho việc nội dung không chỉ thu hút được sự chú ý mà còn tạo ra giá trị kích thích đủ lớn để người dùng muốn trải nghiệm lại lần thứ hai.</w:t>
      </w:r>
    </w:p>
    <w:p w14:paraId="6277F1BC">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Bên cạnh đó, các nhà làm marketing hiện đại còn chú trọng đến chỉ số tương tác sâu (Active Engagement Metrics). Khác với những tương tác "hời hợt" như lượt like, các hành vi như bình luận (Comment), chia sẻ (Share) và lưu nội dung (Save) phản ánh sự tham gia nhận thức cấp độ cao. Đặc biệt, theo Barger và cộng sự (2016), hành vi "Lưu" (Save) trong nền kinh tế chú ý thể hiện ý định quay lại và tiêu thụ sâu hơn trong tương lai, cho thấy nội dung đã vượt qua được sự xao nhãng nhất thời để đi vào danh mục quan tâm của khách hàng. Đồng thời, tỷ lệ chuyển đổi dựa trên sự chú ý (Attention-adjusted Conversion) giúp doanh nghiệp đánh giá được bao nhiêu đơn vị thời gian chú ý bỏ ra sẽ thu về được một hành vi mục tiêu từ đó tối ưu hóa hiệu quả đầu tư (ROI).</w:t>
      </w:r>
    </w:p>
    <w:p w14:paraId="2E819CBA">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Cuối cùng, sự phát triển của công nghệ đã cho phép đo lường sự chú ý thông qua các chỉ số sinh trắc học và kỹ thuật như tỷ lệ hiển thị trên màn hình (Viewability) và bản đồ nhiệt (Heatmaps). Các chỉ số này xác định xem nội dung có thực sự nằm trong tầm mắt của người dùng hay không và họ dành sự tập trung nhiều nhất vào khu vực nào của thông điệp. Việc dịch chuyển từ việc đo lường "số lượng ánh nhìn" sang "chất lượng sự tập trung" không chỉ giúp doanh nghiệp loại bỏ các số liệu ảo mà còn cung cấp căn cứ khoa học để tái cấu trúc nội dung sao cho phù hợp với quỹ thời gian hạn hẹp của khách hàng (Wu, 2017)</w:t>
      </w:r>
    </w:p>
    <w:p w14:paraId="3D6666D5">
      <w:pPr>
        <w:spacing w:before="120" w:line="276" w:lineRule="auto"/>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3</w:t>
      </w:r>
      <w:r>
        <w:rPr>
          <w:rFonts w:ascii="Times New Roman" w:hAnsi="Times New Roman" w:cs="Times New Roman"/>
          <w:b/>
          <w:bCs/>
          <w:sz w:val="26"/>
          <w:szCs w:val="26"/>
        </w:rPr>
        <w:t xml:space="preserve">. Đặc thù của </w:t>
      </w:r>
      <w:r>
        <w:rPr>
          <w:rFonts w:hint="default" w:ascii="Times New Roman" w:hAnsi="Times New Roman" w:cs="Times New Roman"/>
          <w:b/>
          <w:bCs/>
          <w:sz w:val="26"/>
          <w:szCs w:val="26"/>
          <w:lang w:val="vi-VN"/>
        </w:rPr>
        <w:t>m</w:t>
      </w:r>
      <w:r>
        <w:rPr>
          <w:rFonts w:ascii="Times New Roman" w:hAnsi="Times New Roman" w:cs="Times New Roman"/>
          <w:b/>
          <w:bCs/>
          <w:sz w:val="26"/>
          <w:szCs w:val="26"/>
        </w:rPr>
        <w:t>arketing truyền thông xã hội trong ngành xuất bản</w:t>
      </w:r>
      <w:r>
        <w:rPr>
          <w:rFonts w:hint="default" w:ascii="Times New Roman" w:hAnsi="Times New Roman" w:cs="Times New Roman"/>
          <w:b/>
          <w:bCs/>
          <w:sz w:val="26"/>
          <w:szCs w:val="26"/>
          <w:lang w:val="vi-VN"/>
        </w:rPr>
        <w:t xml:space="preserve"> sách</w:t>
      </w:r>
    </w:p>
    <w:p w14:paraId="1C83DC5D">
      <w:pPr>
        <w:spacing w:before="120" w:line="276" w:lineRule="auto"/>
        <w:jc w:val="both"/>
        <w:rPr>
          <w:rFonts w:ascii="Times New Roman" w:hAnsi="Times New Roman" w:cs="Times New Roman"/>
          <w:b/>
          <w:bCs/>
          <w:i/>
          <w:iCs/>
          <w:sz w:val="26"/>
          <w:szCs w:val="26"/>
        </w:rPr>
      </w:pPr>
      <w:r>
        <w:rPr>
          <w:rFonts w:hint="default" w:ascii="Times New Roman" w:hAnsi="Times New Roman" w:cs="Times New Roman"/>
          <w:b/>
          <w:bCs/>
          <w:i/>
          <w:iCs/>
          <w:sz w:val="26"/>
          <w:szCs w:val="26"/>
          <w:lang w:val="vi-VN"/>
        </w:rPr>
        <w:t>3</w:t>
      </w:r>
      <w:r>
        <w:rPr>
          <w:rFonts w:ascii="Times New Roman" w:hAnsi="Times New Roman" w:cs="Times New Roman"/>
          <w:b/>
          <w:bCs/>
          <w:i/>
          <w:iCs/>
          <w:sz w:val="26"/>
          <w:szCs w:val="26"/>
        </w:rPr>
        <w:t>.1. Sách là loại hàng hóa đặc biệt</w:t>
      </w:r>
    </w:p>
    <w:p w14:paraId="09A98D3E">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Trong hệ thống lý luận về hàng hóa, sách không được nhìn nhận như một sản phẩm vật lý đơn thuần mà là một loại "hàng hóa trải nghiệm" và "hàng hóa văn hóa". Đặc điểm này tạo ra một bài toán đặc thù cho marketing truyền thông xã hội đó là doanh nghiệp không bán những trang giấy hay mực in mà đang bán sự thay đổi trong nhận thức, tư duy và cảm xúc của người đọc (Nelson, 1970).</w:t>
      </w:r>
    </w:p>
    <w:p w14:paraId="489C3281">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Trước hết, giá trị sử dụng của sách mang tính trừu tượng và trì hoãn. Khác với thực phẩm hay các nhu yếu phẩm có thể đánh giá chất lượng ngay lập tức, người tiêu dùng chỉ có thể thẩm định đầy đủ giá trị của một cuốn sách sau khi đã dành thời gian và sự tập trung để tiêu thụ toàn bộ nội dung. Chính vì vậy, sự chú ý trong ngành sách trên không gian mạng xã hội thường đi kèm với sự hoài nghi cao. Vai trò của marketing truyền thông xã hội lúc này không chỉ là quảng bá sản phẩm mà là cung cấp "trải nghiệm thử". Các trích đoạn hay, các video tóm tắt bài học hay những bài review sâu sắc chính là các "mẫu thử" nội dung giúp độc giả hình dung được giá trị cảm xúc và tri thức mà họ sẽ nhận được, từ đó giảm bớt rào cản trong quyết định mua hàng.</w:t>
      </w:r>
    </w:p>
    <w:p w14:paraId="2B4A546F">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Thứ hai, sách là loại hàng hóa có khả năng thiết lập thương hiệu cá nhân của người dùng trên không gian số. Trong nền kinh tế chú ý, việc một cá nhân chia sẻ về một cuốn sách lên trang cá nhân không đơn thuần là một hành động lan tỏa thông tin mà là một cách để họ định vị hình ảnh bản thân (Belk, 1988). Độc giả có xu hướng tìm kiếm những cuốn sách có sự tương đồng với hệ giá trị, niềm tin hoặc khát vọng của họ. Do đó, marketing truyền thông xã hội trong ngành xuất bản phải dịch chuyển từ việc mô tả thuộc tính sách sang việc xây dựng "phong cách sống gắn liền với sách". Khi đó, sự chú ý mà độc giả dành cho thương hiệu không chỉ là sự chú ý vào sản phẩm mà là sự chú ý vào chính hình ảnh lý tưởng của họ được phản chiếu qua những trang sách.</w:t>
      </w:r>
    </w:p>
    <w:p w14:paraId="5D95EA6F">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Cuối cùng, đặc thù của sách nằm ở khả năng tạo ra sự kết nối cảm xúc sâu sắc. Một cuốn sách thành công trên mạng xã hội thường là một cuốn sách có khả năng gây ra sự rung động hoặc giải quyết một "nỗi đau" tinh thần cụ thể của cộng đồng. Theo mô hình kinh tế trải nghiệm của Pine và Gilmore (1998), khách hàng không chỉ mua sản phẩm, họ mua cảm giác mà sản phẩm đó mang lại. Vì vậy, thay vì sử dụng các chiến thuật "bán hàng cứng" (hard-sell), marketing xã hội cho sách phải dựa trên sức mạnh của storytelling (kể chuyện). Bằng cách khai thác những câu chuyện đằng sau tác phẩm, những thông điệp nhân văn hay những giá trị chữa lành, doanh nghiệp có thể biến sự chú ý ngắn hạn trên màn hình điện thoại thành một sự kết nối tinh thần bền vững từ đó tạo ra lòng trung thành của độc giả giữa một thị trường đầy xao nhãng.</w:t>
      </w:r>
    </w:p>
    <w:p w14:paraId="5B4F826F">
      <w:pPr>
        <w:spacing w:before="120" w:line="276" w:lineRule="auto"/>
        <w:jc w:val="both"/>
        <w:rPr>
          <w:rFonts w:ascii="Times New Roman" w:hAnsi="Times New Roman" w:cs="Times New Roman"/>
          <w:b/>
          <w:bCs/>
          <w:i/>
          <w:iCs/>
          <w:sz w:val="26"/>
          <w:szCs w:val="26"/>
        </w:rPr>
      </w:pPr>
      <w:r>
        <w:rPr>
          <w:rFonts w:hint="default" w:ascii="Times New Roman" w:hAnsi="Times New Roman" w:cs="Times New Roman"/>
          <w:b/>
          <w:bCs/>
          <w:i/>
          <w:iCs/>
          <w:sz w:val="26"/>
          <w:szCs w:val="26"/>
          <w:lang w:val="vi-VN"/>
        </w:rPr>
        <w:t>3.</w:t>
      </w:r>
      <w:r>
        <w:rPr>
          <w:rFonts w:ascii="Times New Roman" w:hAnsi="Times New Roman" w:cs="Times New Roman"/>
          <w:b/>
          <w:bCs/>
          <w:i/>
          <w:iCs/>
          <w:sz w:val="26"/>
          <w:szCs w:val="26"/>
        </w:rPr>
        <w:t>2. Thách thức của việc marketing sách trên mạng xã hội</w:t>
      </w:r>
    </w:p>
    <w:p w14:paraId="144BBB90">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 xml:space="preserve">Việc triển khai marketing truyền thông xã hội cho sản phẩm sách đối mặt với một thách thức mang tính bản chất: sự xung đột giữa một sản phẩm vốn dĩ là vật lý đòi hỏi sự tĩnh lặng và một môi trường mạng xã hội vốn dĩ là </w:t>
      </w:r>
      <w:r>
        <w:rPr>
          <w:rFonts w:ascii="Times New Roman" w:hAnsi="Times New Roman" w:cs="Times New Roman"/>
          <w:sz w:val="26"/>
          <w:szCs w:val="26"/>
          <w:lang w:val="vi-VN"/>
        </w:rPr>
        <w:t>số</w:t>
      </w:r>
      <w:r>
        <w:rPr>
          <w:rFonts w:ascii="Times New Roman" w:hAnsi="Times New Roman" w:cs="Times New Roman"/>
          <w:sz w:val="26"/>
          <w:szCs w:val="26"/>
        </w:rPr>
        <w:t xml:space="preserve"> được thiết kế để kích thích sự xao nhãng. Để vượt qua rào cản này, doanh nghiệp xuất bản không chỉ thực hiện việc chuyển đổi kênh thông tin mà phải giải quyết bài toán số hóa trải nghiệm của một sản phẩm phi số (Wu, 2017).</w:t>
      </w:r>
    </w:p>
    <w:p w14:paraId="3867319E">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Thách thức đầu tiên nằm ở sự lệch pha về nhịp độ tiêu thụ. Sách là loại hàng hóa đòi hỏi người dùng phải đầu tư thời gian dài và sự tập trung cao độ để thẩm thấu giá trị. Ngược lại, mạng xã hội vận hành dựa trên cơ chế tiêu thụ nhanh với những lát cắt thông tin tính bằng giây. Việc thuyết phục một người đang trong trạng thái lướt web giải trí chuyển sang trạng thái đọc sách nghiêm túc là một sự thay đổi tâm thế rất lớn. Thách thức của nhà làm marketing là phải làm sao để "phiên dịch" những giá trị tri thức đồ sộ, tĩnh lặng bên trong những trang giấy thành những tín hiệu số động, bắt mắt và có khả năng gây nhiễu ngay lập tức trên dòng thời gian của độc giả mà không làm mất đi tính nguyên bản của tác phẩm (Davenport &amp; Beck, 2001).</w:t>
      </w:r>
    </w:p>
    <w:p w14:paraId="69E75DFA">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Thách thức thứ hai liên quan đến tính hữu hình và trải nghiệm giác quan. Sách giấy mang lại những giá trị vật lý đặc trưng như mùi giấy, cảm giác chạm và sự hiện diện trên giá sách - những yếu tố góp phần quan trọng vào quyết định mua hàng. Trên không gian mạng xã hội, các giá trị này bị triệt tiêu và chỉ còn lại duy nhất chiều kích thị giác. Do đó, thách thức đặt ra là phải "thị giác hóa" nội dung tĩnh. Marketing sách hiện đại buộc phải sử dụng các kỹ thuật đồ họa, video trailer hoặc các phong cách hình ảnh như Bookstagram hay BookTok để tái tạo lại cảm xúc vật lý đó thông qua màn hình. Việc "số hóa" một sản phẩm vật lý không chỉ là chụp ảnh bìa sách mà còn là tạo ra một "bầu không khí" quanh cuốn sách đó giúp độc giả cảm nhận được tinh thần của tác phẩm ngay cả khi họ chưa chạm vào nó (Milosavljevic &amp; Cerf, 2008).</w:t>
      </w:r>
    </w:p>
    <w:p w14:paraId="6C0D2904">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 xml:space="preserve">Cuối cùng, thách thức lớn nhất là việc duy trì sự chú ý bền vững. Trong nền kinh tế chú ý, các nền tảng mạng xã hội luôn tìm cách giữ chân người dùng trong vòng lặp của các thông báo và video ngắn. Vì vậy marketing sách vô tình rơi vào thế đối đầu với chính các nền tảng mà nó đang sử dụng: dùng mạng xã hội để thuyết phục người dùng rời bỏ mạng xã hội để quay về với sự tĩnh lặng của việc đọc. Thách thức này đòi hỏi một chiến lược truyền thông thông minh nơi nhà xuất bản không chỉ quảng bá sách như một món hàng mà phải quảng bá đọc sách như một giải pháp cho sự xao nhãng. Bằng cách định vị sách là "ốc đảo của sự bình yên" giữa cơn bão thông tin </w:t>
      </w:r>
      <w:r>
        <w:rPr>
          <w:rFonts w:ascii="Times New Roman" w:hAnsi="Times New Roman" w:cs="Times New Roman"/>
          <w:sz w:val="26"/>
          <w:szCs w:val="26"/>
          <w:lang w:val="vi-VN"/>
        </w:rPr>
        <w:t>số</w:t>
      </w:r>
      <w:r>
        <w:rPr>
          <w:rFonts w:ascii="Times New Roman" w:hAnsi="Times New Roman" w:cs="Times New Roman"/>
          <w:sz w:val="26"/>
          <w:szCs w:val="26"/>
        </w:rPr>
        <w:t>, marketing truyền thông xã hội có thể biến điểm yếu của sách (sự tĩnh lặng) trở thành một lợi thế cạnh tranh độc nhất trong kỷ nguyên số.</w:t>
      </w:r>
    </w:p>
    <w:p w14:paraId="4FEB7F8E">
      <w:pPr>
        <w:spacing w:before="120" w:line="276" w:lineRule="auto"/>
        <w:jc w:val="both"/>
        <w:rPr>
          <w:rFonts w:ascii="Times New Roman" w:hAnsi="Times New Roman" w:cs="Times New Roman"/>
          <w:b/>
          <w:bCs/>
          <w:i/>
          <w:iCs/>
          <w:sz w:val="26"/>
          <w:szCs w:val="26"/>
        </w:rPr>
      </w:pPr>
      <w:r>
        <w:rPr>
          <w:rFonts w:hint="default" w:ascii="Times New Roman" w:hAnsi="Times New Roman" w:cs="Times New Roman"/>
          <w:b/>
          <w:bCs/>
          <w:i/>
          <w:iCs/>
          <w:sz w:val="26"/>
          <w:szCs w:val="26"/>
          <w:lang w:val="vi-VN"/>
        </w:rPr>
        <w:t>3</w:t>
      </w:r>
      <w:r>
        <w:rPr>
          <w:rFonts w:ascii="Times New Roman" w:hAnsi="Times New Roman" w:cs="Times New Roman"/>
          <w:b/>
          <w:bCs/>
          <w:i/>
          <w:iCs/>
          <w:sz w:val="26"/>
          <w:szCs w:val="26"/>
        </w:rPr>
        <w:t>.3. Xu hướng tiêu thụ nội dung sách trên mạng xã hội</w:t>
      </w:r>
    </w:p>
    <w:p w14:paraId="1889433B">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Trong nền kinh tế chú ý, cách thức độc giả tiếp cận và tiêu thụ nội dung sách đã không còn giới hạn ở việc đọc văn bản thuần túy. Sự giao thoa giữa công nghệ và nhu cầu cá nhân hóa đã tạo ra những xu hướng tiêu thụ mới, nơi cuốn sách được tái cấu trúc thành nhiều định dạng khác nhau để phù hợp với nhịp sống số nhanh và phân mảnh.</w:t>
      </w:r>
    </w:p>
    <w:p w14:paraId="64E4DD56">
      <w:pPr>
        <w:spacing w:before="120" w:line="276" w:lineRule="auto"/>
        <w:jc w:val="both"/>
        <w:rPr>
          <w:rFonts w:ascii="Times New Roman" w:hAnsi="Times New Roman" w:cs="Times New Roman"/>
          <w:i/>
          <w:iCs/>
          <w:sz w:val="26"/>
          <w:szCs w:val="26"/>
        </w:rPr>
      </w:pPr>
      <w:r>
        <w:rPr>
          <w:rFonts w:ascii="Times New Roman" w:hAnsi="Times New Roman" w:cs="Times New Roman"/>
          <w:i/>
          <w:iCs/>
          <w:sz w:val="26"/>
          <w:szCs w:val="26"/>
        </w:rPr>
        <w:t>Sự trỗi dậy của xu hướng "thị giác hóa" và "giải trí hóa" nội dung sách</w:t>
      </w:r>
    </w:p>
    <w:p w14:paraId="3B0C2135">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Thay vì các bài giới thiệu sách truyền thống dài dòng, độc giả hiện đại có xu hướng tiêu thụ nội dung sách qua các định dạng trực quan và mang tính giải trí cao. Xu hướng BookTok hay Bookstagram là minh chứng điển hình cho việc biến việc đọc sách thành một trải nghiệm thẩm mỹ và phong cách sống. Tại đây, nội dung sách được tóm tắt qua những video ngắn đầy cảm xúc tập trung vào việc khơi gợi sự tò mò và đánh vào cảm xúc tức thời của người xem hơn là phân tích nội dung chi tiết. Những định dạng này giúp sách vượt qua hàng rào lọc của sự xao nhãng bằng cách cung cấp những "mồi nhử" thị giác bắt mắt, biến một sản phẩm tĩnh thành một trải nghiệm động đầy lôi cuốn (Milosavljevic &amp; Cerf, 2008).</w:t>
      </w:r>
    </w:p>
    <w:p w14:paraId="5B62B67C">
      <w:pPr>
        <w:spacing w:before="120" w:line="276" w:lineRule="auto"/>
        <w:jc w:val="both"/>
        <w:rPr>
          <w:rFonts w:ascii="Times New Roman" w:hAnsi="Times New Roman" w:cs="Times New Roman"/>
          <w:i/>
          <w:iCs/>
          <w:sz w:val="26"/>
          <w:szCs w:val="26"/>
        </w:rPr>
      </w:pPr>
      <w:r>
        <w:rPr>
          <w:rFonts w:ascii="Times New Roman" w:hAnsi="Times New Roman" w:cs="Times New Roman"/>
          <w:i/>
          <w:iCs/>
          <w:sz w:val="26"/>
          <w:szCs w:val="26"/>
        </w:rPr>
        <w:t xml:space="preserve">Xu hướng tiêu thụ nội dung tóm tắt và trích đoạn giá trị </w:t>
      </w:r>
    </w:p>
    <w:p w14:paraId="74FF90C7">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Do sự sụt giảm của ngưỡng tập trung, độc giả ngày càng ưa chuộng các nội dung được chắt lọc sẵn. Các định dạng như Top-list, Key-takeaways hay các đoạn trích dẫn giàu hình ảnh đã trở thành loại "snack-content" chủ đạo của ngành xuất bản trên mạng xã hội. Độc giả sử dụng những nội dung này như một bộ lọc để quyết định xem cuốn sách có đáng để họ đầu tư thời gian tập trung sâu hay không. Xu hướng này phản ánh cơ chế tiết kiệm nhận thức, nơi người dùng muốn thu nhận tối đa giá trị tri thức trong thời gian ngắn nhất trước khi thực hiện hành vi mua (Sweller, 1988).</w:t>
      </w:r>
    </w:p>
    <w:p w14:paraId="0B622B6A">
      <w:pPr>
        <w:spacing w:before="120" w:line="276" w:lineRule="auto"/>
        <w:jc w:val="both"/>
        <w:rPr>
          <w:rFonts w:ascii="Times New Roman" w:hAnsi="Times New Roman" w:cs="Times New Roman"/>
          <w:i/>
          <w:iCs/>
          <w:sz w:val="26"/>
          <w:szCs w:val="26"/>
        </w:rPr>
      </w:pPr>
      <w:r>
        <w:rPr>
          <w:rFonts w:ascii="Times New Roman" w:hAnsi="Times New Roman" w:cs="Times New Roman"/>
          <w:i/>
          <w:iCs/>
          <w:sz w:val="26"/>
          <w:szCs w:val="26"/>
        </w:rPr>
        <w:t>Sự dịch chuyển sang trải nghiệm âm thanh và nội dung tương tác</w:t>
      </w:r>
    </w:p>
    <w:p w14:paraId="50284491">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 xml:space="preserve">Trong nền kinh tế chú ý, khi đôi mắt của người dùng đã quá mệt mỏi với màn hình </w:t>
      </w:r>
      <w:r>
        <w:rPr>
          <w:rFonts w:ascii="Times New Roman" w:hAnsi="Times New Roman" w:cs="Times New Roman"/>
          <w:sz w:val="26"/>
          <w:szCs w:val="26"/>
          <w:lang w:val="vi-VN"/>
        </w:rPr>
        <w:t>số</w:t>
      </w:r>
      <w:r>
        <w:rPr>
          <w:rFonts w:ascii="Times New Roman" w:hAnsi="Times New Roman" w:cs="Times New Roman"/>
          <w:sz w:val="26"/>
          <w:szCs w:val="26"/>
        </w:rPr>
        <w:t>, xu hướng tiêu thụ sách qua âm thanh (Audiobooks, Podcasts về sách) đang phát triển mạnh mẽ. Trên các mạng xã hội như YouTube hay Facebook, các buổi livestream thảo luận cùng tác giả hoặc các nhóm đọc sách chung đang tạo ra một hình thái "tiêu thụ xã hội". Ở đó, việc đọc không còn là hành vi đơn độc mà là sự tương tác cộng đồng. Việc này không chỉ giúp duy trì sự chú ý bền vững thông qua cam kết nhóm mà còn giúp cá nhân hóa trải nghiệm đọc, biến tri thức thành một cuộc hội thoại mở (Jenkins, 2006).</w:t>
      </w:r>
    </w:p>
    <w:p w14:paraId="1AE9BE90">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Tóm lại, xu hướng tiêu thụ nội dung sách hiện nay đang dịch chuyển mạnh mẽ từ tĩnh sang động, từ dài sang ngắn và từ đơn độc sang tương tác. Các đơn vị xuất bản không chỉ còn là người bán sách, mà phải trở thành những nhà sáng tạo nội dung đa phương tiện, biết cách nén và phân phối tri thức qua nhiều "điểm chạm" khác nhau để giữ chân độc giả trong một môi trường đầy rẫy sự xao nhãng (Wu, 2017).</w:t>
      </w:r>
    </w:p>
    <w:p w14:paraId="38FD4A93">
      <w:pPr>
        <w:spacing w:before="120" w:line="276" w:lineRule="auto"/>
        <w:jc w:val="both"/>
        <w:rPr>
          <w:rFonts w:hint="default" w:ascii="Times New Roman" w:hAnsi="Times New Roman" w:cs="Times New Roman"/>
          <w:b w:val="0"/>
          <w:bCs w:val="0"/>
          <w:sz w:val="26"/>
          <w:szCs w:val="26"/>
          <w:lang w:val="vi-VN"/>
        </w:rPr>
      </w:pPr>
      <w:r>
        <w:rPr>
          <w:rFonts w:hint="default" w:ascii="Times New Roman" w:hAnsi="Times New Roman" w:cs="Times New Roman"/>
          <w:b w:val="0"/>
          <w:bCs w:val="0"/>
          <w:sz w:val="26"/>
          <w:szCs w:val="26"/>
          <w:lang w:val="vi-VN"/>
        </w:rPr>
        <w:t>Nắm bắt dược những nguyên lý của kinh tế chú ý và marketing truyền thông xã hội trong bối cảnh nền kinh tế chú ý, cũng như đặc thù của marketing truyền thông xã hội trong ngành xuất bản sách cho phép vận dụng tốt hơn các phương tiện truyền thong xã hội trong định hướng, quảng bá, marketing hiệu quả các sản phẩm nội dung, đặc biệt là sách.</w:t>
      </w:r>
    </w:p>
    <w:p w14:paraId="145A660A">
      <w:pPr>
        <w:spacing w:before="120" w:line="276" w:lineRule="auto"/>
        <w:jc w:val="both"/>
        <w:rPr>
          <w:rFonts w:hint="default" w:ascii="Times New Roman" w:hAnsi="Times New Roman" w:cs="Times New Roman"/>
          <w:b w:val="0"/>
          <w:bCs w:val="0"/>
          <w:sz w:val="26"/>
          <w:szCs w:val="26"/>
          <w:lang w:val="vi-VN"/>
        </w:rPr>
      </w:pPr>
      <w:r>
        <w:rPr>
          <w:rFonts w:hint="default" w:ascii="Times New Roman" w:hAnsi="Times New Roman" w:cs="Times New Roman"/>
          <w:b w:val="0"/>
          <w:bCs w:val="0"/>
          <w:sz w:val="26"/>
          <w:szCs w:val="26"/>
          <w:lang w:val="vi-VN"/>
        </w:rPr>
        <w:t>TÀI LIỆU THAM KHẢO</w:t>
      </w:r>
    </w:p>
    <w:p w14:paraId="272E3811">
      <w:pPr>
        <w:pStyle w:val="259"/>
        <w:keepNext w:val="0"/>
        <w:keepLines w:val="0"/>
        <w:pageBreakBefore w:val="0"/>
        <w:widowControl/>
        <w:kinsoku/>
        <w:wordWrap/>
        <w:overflowPunct/>
        <w:topLinePunct w:val="0"/>
        <w:autoSpaceDE/>
        <w:autoSpaceDN/>
        <w:bidi w:val="0"/>
        <w:adjustRightInd/>
        <w:snapToGrid/>
        <w:spacing w:before="120" w:line="276" w:lineRule="auto"/>
        <w:jc w:val="left"/>
        <w:textAlignment w:val="auto"/>
        <w:rPr>
          <w:rFonts w:hint="default" w:ascii="Times New Roman" w:hAnsi="Times New Roman" w:cs="Times New Roman"/>
          <w:i w:val="0"/>
          <w:color w:val="auto"/>
          <w:lang w:val="vi-VN"/>
        </w:rPr>
      </w:pPr>
      <w:r>
        <w:rPr>
          <w:rFonts w:hint="default" w:ascii="Times New Roman" w:hAnsi="Times New Roman" w:cs="Times New Roman"/>
          <w:i w:val="0"/>
          <w:color w:val="auto"/>
          <w:lang w:val="vi-VN"/>
        </w:rPr>
        <w:t xml:space="preserve">Barger et al., </w:t>
      </w:r>
      <w:r>
        <w:rPr>
          <w:rFonts w:hint="default" w:ascii="Times New Roman" w:hAnsi="Times New Roman" w:cs="Times New Roman"/>
          <w:i w:val="0"/>
          <w:color w:val="auto"/>
        </w:rPr>
        <w:t>Social media and consumer engagement: A review and research agenda</w:t>
      </w:r>
      <w:r>
        <w:rPr>
          <w:rFonts w:hint="default" w:ascii="Times New Roman" w:hAnsi="Times New Roman" w:cs="Times New Roman"/>
          <w:i w:val="0"/>
          <w:color w:val="auto"/>
          <w:lang w:val="vi-VN"/>
        </w:rPr>
        <w:t xml:space="preserve">, </w:t>
      </w:r>
      <w:r>
        <w:rPr>
          <w:rFonts w:hint="default" w:ascii="Times New Roman" w:hAnsi="Times New Roman" w:cs="Times New Roman"/>
          <w:i/>
          <w:iCs/>
          <w:color w:val="auto"/>
          <w:lang w:val="vi-VN"/>
        </w:rPr>
        <w:t>Emerald Insight</w:t>
      </w:r>
    </w:p>
    <w:p w14:paraId="321AE18A">
      <w:pPr>
        <w:pStyle w:val="259"/>
        <w:keepNext w:val="0"/>
        <w:keepLines w:val="0"/>
        <w:pageBreakBefore w:val="0"/>
        <w:widowControl/>
        <w:kinsoku/>
        <w:wordWrap/>
        <w:overflowPunct/>
        <w:topLinePunct w:val="0"/>
        <w:autoSpaceDE/>
        <w:autoSpaceDN/>
        <w:bidi w:val="0"/>
        <w:adjustRightInd/>
        <w:snapToGrid/>
        <w:spacing w:before="120" w:line="276" w:lineRule="auto"/>
        <w:jc w:val="left"/>
        <w:textAlignment w:val="auto"/>
        <w:rPr>
          <w:rFonts w:hint="default" w:ascii="Times New Roman" w:hAnsi="Times New Roman" w:cs="Times New Roman"/>
          <w:color w:val="auto"/>
        </w:rPr>
      </w:pPr>
      <w:r>
        <w:rPr>
          <w:rFonts w:hint="default" w:ascii="Times New Roman" w:hAnsi="Times New Roman" w:cs="Times New Roman"/>
          <w:color w:val="auto"/>
        </w:rPr>
        <w:t xml:space="preserve">Daugherty, T., Eastin, M. S., &amp; Bright, L. (2008). Exploring Consumer Motivations </w:t>
      </w:r>
      <w:r>
        <w:rPr>
          <w:rFonts w:hint="default" w:ascii="Times New Roman" w:hAnsi="Times New Roman" w:cs="Times New Roman"/>
          <w:color w:val="auto"/>
        </w:rPr>
        <w:tab/>
      </w:r>
      <w:r>
        <w:rPr>
          <w:rFonts w:hint="default" w:ascii="Times New Roman" w:hAnsi="Times New Roman" w:cs="Times New Roman"/>
          <w:color w:val="auto"/>
        </w:rPr>
        <w:t xml:space="preserve">for  Creating User-Generated Content. </w:t>
      </w:r>
      <w:r>
        <w:rPr>
          <w:rFonts w:hint="default" w:ascii="Times New Roman" w:hAnsi="Times New Roman" w:cs="Times New Roman"/>
          <w:i/>
          <w:iCs/>
          <w:color w:val="auto"/>
        </w:rPr>
        <w:t>Journal of Interactive Advertising</w:t>
      </w:r>
      <w:r>
        <w:rPr>
          <w:rFonts w:hint="default" w:ascii="Times New Roman" w:hAnsi="Times New Roman" w:cs="Times New Roman"/>
          <w:color w:val="auto"/>
        </w:rPr>
        <w:t>.</w:t>
      </w:r>
    </w:p>
    <w:p w14:paraId="4C4B3430">
      <w:pPr>
        <w:pStyle w:val="259"/>
        <w:keepNext w:val="0"/>
        <w:keepLines w:val="0"/>
        <w:pageBreakBefore w:val="0"/>
        <w:widowControl/>
        <w:kinsoku/>
        <w:wordWrap/>
        <w:overflowPunct/>
        <w:topLinePunct w:val="0"/>
        <w:autoSpaceDE/>
        <w:autoSpaceDN/>
        <w:bidi w:val="0"/>
        <w:adjustRightInd/>
        <w:snapToGrid/>
        <w:spacing w:before="120" w:line="276" w:lineRule="auto"/>
        <w:ind w:left="798" w:leftChars="0" w:hanging="798" w:hangingChars="307"/>
        <w:jc w:val="left"/>
        <w:textAlignment w:val="auto"/>
        <w:rPr>
          <w:rFonts w:hint="default" w:ascii="Times New Roman" w:hAnsi="Times New Roman" w:cs="Times New Roman"/>
          <w:color w:val="auto"/>
        </w:rPr>
      </w:pPr>
      <w:r>
        <w:rPr>
          <w:rFonts w:hint="default" w:ascii="Times New Roman" w:hAnsi="Times New Roman" w:cs="Times New Roman"/>
          <w:i w:val="0"/>
          <w:color w:val="auto"/>
        </w:rPr>
        <w:t>Davenport</w:t>
      </w:r>
      <w:r>
        <w:rPr>
          <w:rFonts w:hint="default" w:ascii="Times New Roman" w:hAnsi="Times New Roman" w:cs="Times New Roman"/>
          <w:color w:val="auto"/>
        </w:rPr>
        <w:t xml:space="preserve">, T. H., &amp; Beck, J. C. (2001). </w:t>
      </w:r>
      <w:r>
        <w:rPr>
          <w:rFonts w:hint="default" w:ascii="Times New Roman" w:hAnsi="Times New Roman" w:cs="Times New Roman"/>
          <w:i/>
          <w:iCs/>
          <w:color w:val="auto"/>
        </w:rPr>
        <w:t>The Attention Economy: Understanding</w:t>
      </w:r>
      <w:r>
        <w:rPr>
          <w:rFonts w:hint="default" w:ascii="Times New Roman" w:hAnsi="Times New Roman" w:cs="Times New Roman"/>
          <w:i/>
          <w:iCs/>
          <w:color w:val="auto"/>
          <w:lang w:val="vi-VN"/>
        </w:rPr>
        <w:t xml:space="preserve"> </w:t>
      </w:r>
      <w:r>
        <w:rPr>
          <w:rFonts w:hint="default" w:ascii="Times New Roman" w:hAnsi="Times New Roman" w:cs="Times New Roman"/>
          <w:i/>
          <w:iCs/>
          <w:color w:val="auto"/>
        </w:rPr>
        <w:t>the New Currency of Business</w:t>
      </w:r>
      <w:r>
        <w:rPr>
          <w:rFonts w:hint="default" w:ascii="Times New Roman" w:hAnsi="Times New Roman" w:cs="Times New Roman"/>
          <w:color w:val="auto"/>
        </w:rPr>
        <w:t>. Harvard Business School Press.</w:t>
      </w:r>
    </w:p>
    <w:p w14:paraId="43FCEF1E">
      <w:pPr>
        <w:pStyle w:val="259"/>
        <w:keepNext w:val="0"/>
        <w:keepLines w:val="0"/>
        <w:pageBreakBefore w:val="0"/>
        <w:widowControl/>
        <w:kinsoku/>
        <w:wordWrap/>
        <w:overflowPunct/>
        <w:topLinePunct w:val="0"/>
        <w:autoSpaceDE/>
        <w:autoSpaceDN/>
        <w:bidi w:val="0"/>
        <w:adjustRightInd/>
        <w:snapToGrid/>
        <w:spacing w:before="120" w:line="276" w:lineRule="auto"/>
        <w:jc w:val="left"/>
        <w:textAlignment w:val="auto"/>
        <w:rPr>
          <w:rFonts w:hint="default" w:ascii="Times New Roman" w:hAnsi="Times New Roman" w:cs="Times New Roman"/>
          <w:color w:val="auto"/>
        </w:rPr>
      </w:pPr>
      <w:r>
        <w:rPr>
          <w:rFonts w:hint="default" w:ascii="Times New Roman" w:hAnsi="Times New Roman" w:cs="Times New Roman"/>
          <w:color w:val="auto"/>
        </w:rPr>
        <w:t xml:space="preserve">Goldhaber, M. H. (1997). The Attention Economy and the Net. </w:t>
      </w:r>
      <w:r>
        <w:rPr>
          <w:rFonts w:hint="default" w:ascii="Times New Roman" w:hAnsi="Times New Roman" w:cs="Times New Roman"/>
          <w:i/>
          <w:iCs/>
          <w:color w:val="auto"/>
        </w:rPr>
        <w:t>First Monday</w:t>
      </w:r>
      <w:r>
        <w:rPr>
          <w:rFonts w:hint="default" w:ascii="Times New Roman" w:hAnsi="Times New Roman" w:cs="Times New Roman"/>
          <w:color w:val="auto"/>
        </w:rPr>
        <w:t>.</w:t>
      </w:r>
    </w:p>
    <w:p w14:paraId="59B8422A">
      <w:pPr>
        <w:pStyle w:val="259"/>
        <w:keepNext w:val="0"/>
        <w:keepLines w:val="0"/>
        <w:pageBreakBefore w:val="0"/>
        <w:widowControl/>
        <w:kinsoku/>
        <w:wordWrap/>
        <w:overflowPunct/>
        <w:topLinePunct w:val="0"/>
        <w:autoSpaceDE/>
        <w:autoSpaceDN/>
        <w:bidi w:val="0"/>
        <w:adjustRightInd/>
        <w:snapToGrid/>
        <w:spacing w:before="120" w:line="276" w:lineRule="auto"/>
        <w:jc w:val="left"/>
        <w:textAlignment w:val="auto"/>
        <w:rPr>
          <w:rFonts w:hint="default" w:ascii="Times New Roman" w:hAnsi="Times New Roman" w:cs="Times New Roman"/>
          <w:color w:val="auto"/>
        </w:rPr>
      </w:pPr>
      <w:r>
        <w:rPr>
          <w:rFonts w:hint="default" w:ascii="Times New Roman" w:hAnsi="Times New Roman" w:cs="Times New Roman"/>
          <w:color w:val="auto"/>
        </w:rPr>
        <w:t xml:space="preserve">Kahneman, D. (2011). </w:t>
      </w:r>
      <w:r>
        <w:rPr>
          <w:rFonts w:hint="default" w:ascii="Times New Roman" w:hAnsi="Times New Roman" w:cs="Times New Roman"/>
          <w:i/>
          <w:iCs/>
          <w:color w:val="auto"/>
        </w:rPr>
        <w:t>Thinking, Fast and Slow</w:t>
      </w:r>
      <w:r>
        <w:rPr>
          <w:rFonts w:hint="default" w:ascii="Times New Roman" w:hAnsi="Times New Roman" w:cs="Times New Roman"/>
          <w:color w:val="auto"/>
        </w:rPr>
        <w:t>. Farrar, Straus and Giroux.</w:t>
      </w:r>
    </w:p>
    <w:p w14:paraId="6D751FD5">
      <w:pPr>
        <w:pStyle w:val="259"/>
        <w:keepNext w:val="0"/>
        <w:keepLines w:val="0"/>
        <w:pageBreakBefore w:val="0"/>
        <w:widowControl/>
        <w:kinsoku/>
        <w:wordWrap/>
        <w:overflowPunct/>
        <w:topLinePunct w:val="0"/>
        <w:autoSpaceDE/>
        <w:autoSpaceDN/>
        <w:bidi w:val="0"/>
        <w:adjustRightInd/>
        <w:snapToGrid/>
        <w:spacing w:before="120" w:line="276" w:lineRule="auto"/>
        <w:jc w:val="left"/>
        <w:textAlignment w:val="auto"/>
        <w:rPr>
          <w:rFonts w:hint="default" w:ascii="Times New Roman" w:hAnsi="Times New Roman" w:cs="Times New Roman"/>
          <w:i/>
          <w:color w:val="auto"/>
        </w:rPr>
      </w:pPr>
      <w:r>
        <w:rPr>
          <w:rFonts w:hint="default" w:ascii="Times New Roman" w:hAnsi="Times New Roman" w:cs="Times New Roman"/>
          <w:color w:val="auto"/>
        </w:rPr>
        <w:t>Kotler, P., &amp; Keller, K. L. (201</w:t>
      </w:r>
      <w:r>
        <w:rPr>
          <w:rFonts w:hint="default" w:ascii="Times New Roman" w:hAnsi="Times New Roman" w:cs="Times New Roman"/>
          <w:color w:val="auto"/>
          <w:lang w:val="vi-VN"/>
        </w:rPr>
        <w:t>7</w:t>
      </w:r>
      <w:r>
        <w:rPr>
          <w:rFonts w:hint="default" w:ascii="Times New Roman" w:hAnsi="Times New Roman" w:cs="Times New Roman"/>
          <w:color w:val="auto"/>
        </w:rPr>
        <w:t xml:space="preserve">). Marketing management (15th ed.). </w:t>
      </w:r>
      <w:r>
        <w:rPr>
          <w:rFonts w:hint="default" w:ascii="Times New Roman" w:hAnsi="Times New Roman" w:cs="Times New Roman"/>
          <w:i/>
          <w:color w:val="auto"/>
        </w:rPr>
        <w:t>Pearson.</w:t>
      </w:r>
    </w:p>
    <w:p w14:paraId="0CCF3594">
      <w:pPr>
        <w:pStyle w:val="259"/>
        <w:keepNext w:val="0"/>
        <w:keepLines w:val="0"/>
        <w:pageBreakBefore w:val="0"/>
        <w:widowControl/>
        <w:kinsoku/>
        <w:wordWrap/>
        <w:overflowPunct/>
        <w:topLinePunct w:val="0"/>
        <w:autoSpaceDE/>
        <w:autoSpaceDN/>
        <w:bidi w:val="0"/>
        <w:adjustRightInd/>
        <w:snapToGrid/>
        <w:spacing w:before="120" w:line="276" w:lineRule="auto"/>
        <w:jc w:val="left"/>
        <w:textAlignment w:val="auto"/>
        <w:rPr>
          <w:rFonts w:hint="default" w:ascii="Times New Roman" w:hAnsi="Times New Roman" w:cs="Times New Roman"/>
          <w:color w:val="auto"/>
        </w:rPr>
      </w:pPr>
      <w:r>
        <w:rPr>
          <w:rFonts w:hint="default" w:ascii="Times New Roman" w:hAnsi="Times New Roman" w:cs="Times New Roman"/>
          <w:color w:val="auto"/>
        </w:rPr>
        <w:t>Microsoft. (2015). Attention Spans: Consumer Insights Report.</w:t>
      </w:r>
    </w:p>
    <w:p w14:paraId="04472CF6">
      <w:pPr>
        <w:pStyle w:val="259"/>
        <w:keepNext w:val="0"/>
        <w:keepLines w:val="0"/>
        <w:pageBreakBefore w:val="0"/>
        <w:widowControl/>
        <w:kinsoku/>
        <w:wordWrap/>
        <w:overflowPunct/>
        <w:topLinePunct w:val="0"/>
        <w:autoSpaceDE/>
        <w:autoSpaceDN/>
        <w:bidi w:val="0"/>
        <w:adjustRightInd/>
        <w:snapToGrid/>
        <w:spacing w:before="120" w:line="276" w:lineRule="auto"/>
        <w:jc w:val="left"/>
        <w:textAlignment w:val="auto"/>
        <w:rPr>
          <w:rFonts w:hint="default" w:ascii="Times New Roman" w:hAnsi="Times New Roman" w:cs="Times New Roman"/>
          <w:color w:val="auto"/>
        </w:rPr>
      </w:pPr>
      <w:r>
        <w:rPr>
          <w:rFonts w:hint="default" w:ascii="Times New Roman" w:hAnsi="Times New Roman" w:cs="Times New Roman"/>
          <w:color w:val="auto"/>
        </w:rPr>
        <w:t xml:space="preserve">Milosavljevic, M., &amp; Cerf, M. (2008). First impressions: Visual attention and the </w:t>
      </w:r>
      <w:r>
        <w:rPr>
          <w:rFonts w:hint="default" w:ascii="Times New Roman" w:hAnsi="Times New Roman" w:cs="Times New Roman"/>
          <w:color w:val="auto"/>
        </w:rPr>
        <w:tab/>
      </w:r>
      <w:r>
        <w:rPr>
          <w:rFonts w:hint="default" w:ascii="Times New Roman" w:hAnsi="Times New Roman" w:cs="Times New Roman"/>
          <w:color w:val="auto"/>
        </w:rPr>
        <w:t xml:space="preserve">beginning of the consumer experience. </w:t>
      </w:r>
      <w:r>
        <w:rPr>
          <w:rFonts w:hint="default" w:ascii="Times New Roman" w:hAnsi="Times New Roman" w:cs="Times New Roman"/>
          <w:i/>
          <w:iCs/>
          <w:color w:val="auto"/>
        </w:rPr>
        <w:t>International Journal of Advertising</w:t>
      </w:r>
      <w:r>
        <w:rPr>
          <w:rFonts w:hint="default" w:ascii="Times New Roman" w:hAnsi="Times New Roman" w:cs="Times New Roman"/>
          <w:color w:val="auto"/>
        </w:rPr>
        <w:t>.</w:t>
      </w:r>
    </w:p>
    <w:p w14:paraId="399483B4">
      <w:pPr>
        <w:pStyle w:val="259"/>
        <w:keepNext w:val="0"/>
        <w:keepLines w:val="0"/>
        <w:pageBreakBefore w:val="0"/>
        <w:widowControl/>
        <w:kinsoku/>
        <w:wordWrap/>
        <w:overflowPunct/>
        <w:topLinePunct w:val="0"/>
        <w:autoSpaceDE/>
        <w:autoSpaceDN/>
        <w:bidi w:val="0"/>
        <w:adjustRightInd/>
        <w:snapToGrid/>
        <w:spacing w:before="120" w:line="276" w:lineRule="auto"/>
        <w:jc w:val="left"/>
        <w:textAlignment w:val="auto"/>
        <w:rPr>
          <w:rFonts w:hint="default" w:ascii="Times New Roman" w:hAnsi="Times New Roman" w:cs="Times New Roman"/>
          <w:color w:val="auto"/>
        </w:rPr>
      </w:pPr>
      <w:r>
        <w:rPr>
          <w:rFonts w:hint="default" w:ascii="Times New Roman" w:hAnsi="Times New Roman" w:cs="Times New Roman"/>
          <w:color w:val="auto"/>
        </w:rPr>
        <w:t xml:space="preserve">Neff, J. (2010). Is Social Media Becoming Just Another Vanity Metric? </w:t>
      </w:r>
      <w:r>
        <w:rPr>
          <w:rFonts w:hint="default" w:ascii="Times New Roman" w:hAnsi="Times New Roman" w:cs="Times New Roman"/>
          <w:i/>
          <w:iCs/>
          <w:color w:val="auto"/>
        </w:rPr>
        <w:t xml:space="preserve">Advertising </w:t>
      </w:r>
      <w:r>
        <w:rPr>
          <w:rFonts w:hint="default" w:ascii="Times New Roman" w:hAnsi="Times New Roman" w:cs="Times New Roman"/>
          <w:i/>
          <w:iCs/>
          <w:color w:val="auto"/>
        </w:rPr>
        <w:tab/>
      </w:r>
      <w:r>
        <w:rPr>
          <w:rFonts w:hint="default" w:ascii="Times New Roman" w:hAnsi="Times New Roman" w:cs="Times New Roman"/>
          <w:i/>
          <w:iCs/>
          <w:color w:val="auto"/>
        </w:rPr>
        <w:t>Age</w:t>
      </w:r>
      <w:r>
        <w:rPr>
          <w:rFonts w:hint="default" w:ascii="Times New Roman" w:hAnsi="Times New Roman" w:cs="Times New Roman"/>
          <w:color w:val="auto"/>
        </w:rPr>
        <w:t>.</w:t>
      </w:r>
    </w:p>
    <w:p w14:paraId="118D5BEC">
      <w:pPr>
        <w:pStyle w:val="259"/>
        <w:keepNext w:val="0"/>
        <w:keepLines w:val="0"/>
        <w:pageBreakBefore w:val="0"/>
        <w:widowControl/>
        <w:kinsoku/>
        <w:wordWrap/>
        <w:overflowPunct/>
        <w:topLinePunct w:val="0"/>
        <w:autoSpaceDE/>
        <w:autoSpaceDN/>
        <w:bidi w:val="0"/>
        <w:adjustRightInd/>
        <w:snapToGrid/>
        <w:spacing w:before="120" w:line="276" w:lineRule="auto"/>
        <w:jc w:val="left"/>
        <w:textAlignment w:val="auto"/>
        <w:rPr>
          <w:rFonts w:hint="default" w:ascii="Times New Roman" w:hAnsi="Times New Roman" w:cs="Times New Roman"/>
          <w:color w:val="auto"/>
        </w:rPr>
      </w:pPr>
      <w:r>
        <w:rPr>
          <w:rFonts w:hint="default" w:ascii="Times New Roman" w:hAnsi="Times New Roman" w:cs="Times New Roman"/>
          <w:color w:val="auto"/>
        </w:rPr>
        <w:t xml:space="preserve">Nelson, P. (1970). Information and Consumer Behavior. </w:t>
      </w:r>
      <w:r>
        <w:rPr>
          <w:rFonts w:hint="default" w:ascii="Times New Roman" w:hAnsi="Times New Roman" w:cs="Times New Roman"/>
          <w:i/>
          <w:iCs/>
          <w:color w:val="auto"/>
        </w:rPr>
        <w:t>Journal of Political Economy</w:t>
      </w:r>
      <w:r>
        <w:rPr>
          <w:rFonts w:hint="default" w:ascii="Times New Roman" w:hAnsi="Times New Roman" w:cs="Times New Roman"/>
          <w:color w:val="auto"/>
        </w:rPr>
        <w:t>.</w:t>
      </w:r>
    </w:p>
    <w:p w14:paraId="27C68315">
      <w:pPr>
        <w:pStyle w:val="259"/>
        <w:keepNext w:val="0"/>
        <w:keepLines w:val="0"/>
        <w:pageBreakBefore w:val="0"/>
        <w:widowControl/>
        <w:kinsoku/>
        <w:wordWrap/>
        <w:overflowPunct/>
        <w:topLinePunct w:val="0"/>
        <w:autoSpaceDE/>
        <w:autoSpaceDN/>
        <w:bidi w:val="0"/>
        <w:adjustRightInd/>
        <w:snapToGrid/>
        <w:spacing w:before="120" w:line="276" w:lineRule="auto"/>
        <w:jc w:val="left"/>
        <w:textAlignment w:val="auto"/>
        <w:rPr>
          <w:rFonts w:hint="default" w:ascii="Times New Roman" w:hAnsi="Times New Roman" w:cs="Times New Roman"/>
          <w:color w:val="auto"/>
        </w:rPr>
      </w:pPr>
      <w:r>
        <w:rPr>
          <w:rFonts w:hint="default" w:ascii="Times New Roman" w:hAnsi="Times New Roman" w:cs="Times New Roman"/>
          <w:color w:val="auto"/>
        </w:rPr>
        <w:t xml:space="preserve">Simon, H. A. (1971). Designing Organizations for an Information-Rich World. In M. </w:t>
      </w:r>
      <w:r>
        <w:rPr>
          <w:rFonts w:hint="default" w:ascii="Times New Roman" w:hAnsi="Times New Roman" w:cs="Times New Roman"/>
          <w:color w:val="auto"/>
        </w:rPr>
        <w:tab/>
      </w:r>
      <w:r>
        <w:rPr>
          <w:rFonts w:hint="default" w:ascii="Times New Roman" w:hAnsi="Times New Roman" w:cs="Times New Roman"/>
          <w:color w:val="auto"/>
        </w:rPr>
        <w:t xml:space="preserve">Greenberger (Ed.), </w:t>
      </w:r>
      <w:r>
        <w:rPr>
          <w:rFonts w:hint="default" w:ascii="Times New Roman" w:hAnsi="Times New Roman" w:cs="Times New Roman"/>
          <w:i/>
          <w:iCs/>
          <w:color w:val="auto"/>
        </w:rPr>
        <w:t>Computers, Communications, and the Public Interest</w:t>
      </w:r>
      <w:r>
        <w:rPr>
          <w:rFonts w:hint="default" w:ascii="Times New Roman" w:hAnsi="Times New Roman" w:cs="Times New Roman"/>
          <w:color w:val="auto"/>
        </w:rPr>
        <w:t xml:space="preserve">. The </w:t>
      </w:r>
      <w:r>
        <w:rPr>
          <w:rFonts w:hint="default" w:ascii="Times New Roman" w:hAnsi="Times New Roman" w:cs="Times New Roman"/>
          <w:color w:val="auto"/>
        </w:rPr>
        <w:tab/>
      </w:r>
      <w:r>
        <w:rPr>
          <w:rFonts w:hint="default" w:ascii="Times New Roman" w:hAnsi="Times New Roman" w:cs="Times New Roman"/>
          <w:color w:val="auto"/>
        </w:rPr>
        <w:t>Johns Hopkins Press.</w:t>
      </w:r>
    </w:p>
    <w:p w14:paraId="059F902E">
      <w:pPr>
        <w:pStyle w:val="259"/>
        <w:keepNext w:val="0"/>
        <w:keepLines w:val="0"/>
        <w:pageBreakBefore w:val="0"/>
        <w:widowControl/>
        <w:kinsoku/>
        <w:wordWrap/>
        <w:overflowPunct/>
        <w:topLinePunct w:val="0"/>
        <w:autoSpaceDE/>
        <w:autoSpaceDN/>
        <w:bidi w:val="0"/>
        <w:adjustRightInd/>
        <w:snapToGrid/>
        <w:spacing w:before="120" w:line="276" w:lineRule="auto"/>
        <w:jc w:val="left"/>
        <w:textAlignment w:val="auto"/>
        <w:rPr>
          <w:rFonts w:hint="default" w:ascii="Times New Roman" w:hAnsi="Times New Roman" w:cs="Times New Roman"/>
          <w:color w:val="auto"/>
        </w:rPr>
      </w:pPr>
      <w:r>
        <w:rPr>
          <w:rFonts w:hint="default" w:ascii="Times New Roman" w:hAnsi="Times New Roman" w:cs="Times New Roman"/>
          <w:color w:val="auto"/>
        </w:rPr>
        <w:t xml:space="preserve">Skinner, B. F. (1953). </w:t>
      </w:r>
      <w:r>
        <w:rPr>
          <w:rFonts w:hint="default" w:ascii="Times New Roman" w:hAnsi="Times New Roman" w:cs="Times New Roman"/>
          <w:i/>
          <w:iCs/>
          <w:color w:val="auto"/>
        </w:rPr>
        <w:t>Science and Human Behavior</w:t>
      </w:r>
      <w:r>
        <w:rPr>
          <w:rFonts w:hint="default" w:ascii="Times New Roman" w:hAnsi="Times New Roman" w:cs="Times New Roman"/>
          <w:color w:val="auto"/>
        </w:rPr>
        <w:t>. Simon and Schuster.</w:t>
      </w:r>
    </w:p>
    <w:p w14:paraId="2FB69AEA">
      <w:pPr>
        <w:pStyle w:val="259"/>
        <w:keepNext w:val="0"/>
        <w:keepLines w:val="0"/>
        <w:pageBreakBefore w:val="0"/>
        <w:widowControl/>
        <w:kinsoku/>
        <w:wordWrap/>
        <w:overflowPunct/>
        <w:topLinePunct w:val="0"/>
        <w:autoSpaceDE/>
        <w:autoSpaceDN/>
        <w:bidi w:val="0"/>
        <w:adjustRightInd/>
        <w:snapToGrid/>
        <w:spacing w:before="120" w:line="276" w:lineRule="auto"/>
        <w:jc w:val="left"/>
        <w:textAlignment w:val="auto"/>
        <w:rPr>
          <w:rFonts w:hint="default" w:ascii="Times New Roman" w:hAnsi="Times New Roman" w:cs="Times New Roman"/>
          <w:color w:val="auto"/>
        </w:rPr>
      </w:pPr>
      <w:r>
        <w:rPr>
          <w:rFonts w:hint="default" w:ascii="Times New Roman" w:hAnsi="Times New Roman" w:cs="Times New Roman"/>
          <w:color w:val="auto"/>
        </w:rPr>
        <w:t xml:space="preserve">Teixeira, T. S. (2014). The Rising Cost of Consumer Attention. </w:t>
      </w:r>
      <w:r>
        <w:rPr>
          <w:rFonts w:hint="default" w:ascii="Times New Roman" w:hAnsi="Times New Roman" w:cs="Times New Roman"/>
          <w:i/>
          <w:iCs/>
          <w:color w:val="auto"/>
        </w:rPr>
        <w:t xml:space="preserve">Harvard Business </w:t>
      </w:r>
      <w:r>
        <w:rPr>
          <w:rFonts w:hint="default" w:ascii="Times New Roman" w:hAnsi="Times New Roman" w:cs="Times New Roman"/>
          <w:i/>
          <w:iCs/>
          <w:color w:val="auto"/>
        </w:rPr>
        <w:tab/>
      </w:r>
      <w:r>
        <w:rPr>
          <w:rFonts w:hint="default" w:ascii="Times New Roman" w:hAnsi="Times New Roman" w:cs="Times New Roman"/>
          <w:i/>
          <w:iCs/>
          <w:color w:val="auto"/>
        </w:rPr>
        <w:t>Review</w:t>
      </w:r>
      <w:r>
        <w:rPr>
          <w:rFonts w:hint="default" w:ascii="Times New Roman" w:hAnsi="Times New Roman" w:cs="Times New Roman"/>
          <w:color w:val="auto"/>
        </w:rPr>
        <w:t>.</w:t>
      </w:r>
    </w:p>
    <w:p w14:paraId="0B524996">
      <w:pPr>
        <w:pStyle w:val="259"/>
        <w:keepNext w:val="0"/>
        <w:keepLines w:val="0"/>
        <w:pageBreakBefore w:val="0"/>
        <w:widowControl/>
        <w:kinsoku/>
        <w:wordWrap/>
        <w:overflowPunct/>
        <w:topLinePunct w:val="0"/>
        <w:autoSpaceDE/>
        <w:autoSpaceDN/>
        <w:bidi w:val="0"/>
        <w:adjustRightInd/>
        <w:snapToGrid/>
        <w:spacing w:before="120" w:line="276" w:lineRule="auto"/>
        <w:ind w:left="616" w:leftChars="0" w:hanging="616" w:hangingChars="237"/>
        <w:jc w:val="left"/>
        <w:textAlignment w:val="auto"/>
        <w:rPr>
          <w:rFonts w:hint="default" w:ascii="Times New Roman" w:hAnsi="Times New Roman" w:cs="Times New Roman"/>
          <w:i/>
          <w:iCs/>
          <w:color w:val="auto"/>
        </w:rPr>
      </w:pPr>
      <w:r>
        <w:rPr>
          <w:rFonts w:hint="default" w:ascii="Times New Roman" w:hAnsi="Times New Roman" w:cs="Times New Roman"/>
          <w:i w:val="0"/>
          <w:color w:val="auto"/>
        </w:rPr>
        <w:t xml:space="preserve">Wu, B. and Chen, X. (2017) Continuance Intention to Use MOOCs: Integrating the Technology Acceptance Model (TAM) and Task Technology Fit (TTF) Model. </w:t>
      </w:r>
      <w:r>
        <w:rPr>
          <w:rFonts w:hint="default" w:ascii="Times New Roman" w:hAnsi="Times New Roman" w:cs="Times New Roman"/>
          <w:i/>
          <w:iCs/>
          <w:color w:val="auto"/>
        </w:rPr>
        <w:t>Computers in Human Behavior, 67, 221-232.</w:t>
      </w:r>
    </w:p>
    <w:p w14:paraId="1F136960">
      <w:pPr>
        <w:pStyle w:val="259"/>
        <w:keepNext w:val="0"/>
        <w:keepLines w:val="0"/>
        <w:pageBreakBefore w:val="0"/>
        <w:widowControl/>
        <w:kinsoku/>
        <w:wordWrap/>
        <w:overflowPunct/>
        <w:topLinePunct w:val="0"/>
        <w:autoSpaceDE/>
        <w:autoSpaceDN/>
        <w:bidi w:val="0"/>
        <w:adjustRightInd/>
        <w:snapToGrid/>
        <w:spacing w:before="120" w:line="276" w:lineRule="auto"/>
        <w:ind w:left="616" w:leftChars="0" w:hanging="616" w:hangingChars="237"/>
        <w:jc w:val="left"/>
        <w:textAlignment w:val="auto"/>
        <w:rPr>
          <w:rFonts w:hint="default" w:ascii="Times New Roman" w:hAnsi="Times New Roman" w:cs="Times New Roman"/>
          <w:i/>
          <w:iCs/>
          <w:color w:val="auto"/>
          <w:lang w:val="vi-VN"/>
        </w:rPr>
      </w:pPr>
    </w:p>
    <w:sectPr>
      <w:headerReference r:id="rId3" w:type="default"/>
      <w:footerReference r:id="rId4" w:type="default"/>
      <w:pgSz w:w="11900" w:h="16840"/>
      <w:pgMar w:top="1134" w:right="1134" w:bottom="1418" w:left="1701" w:header="227" w:footer="227" w:gutter="0"/>
      <w:pgNumType w:start="1"/>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imHei">
    <w:altName w:val="SimSun"/>
    <w:panose1 w:val="02010600030101010101"/>
    <w:charset w:val="86"/>
    <w:family w:val="modern"/>
    <w:pitch w:val="default"/>
    <w:sig w:usb0="00000000" w:usb1="00000000"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2210F">
    <w:pPr>
      <w:pStyle w:val="37"/>
    </w:pPr>
    <w:r>
      <w:rPr>
        <w:lang w:val="vi-VN" w:eastAsia="vi-V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CAC90">
                          <w:pPr>
                            <w:pStyle w:val="37"/>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xRF6gaAgAAVAQAAA4AAABkcnMvZTJvRG9jLnhtbK1UTY/aMBC9V+p/&#10;sHwvAaquECKs6CKqSqi7Elv1bByHRPKX7IGE/vo+54NdbXvYQy9hPDN+M+/NmNV9azS7qBBrZ3M+&#10;m0w5U1a6orannP983n1acBZJ2EJoZ1XOryry+/XHD6vGL9XcVU4XKjCA2LhsfM4rIr/MsigrZUSc&#10;OK8sgqULRhCO4ZQVQTRANzqbT6d3WeNC4YOTKkZ4t32QD4jhPYCuLGuptk6ejbLUowalBYFSrGof&#10;+brrtiyVpMeyjIqYzjmYUvdFEdjH9M3WK7E8BeGrWg4tiPe08IaTEbVF0RvUVpBg51D/BWVqGVx0&#10;JU2kM1lPpFMELGbTN9ocKuFVxwVSR38TPf4/WPnj8hRYXWATOLPCYODPqiX21bVsltRpfFwi6eCR&#10;Ri3cKXPwRzgT6bYMJv2CDkMc2l5v2iYwmS4t5ovFFCGJ2HgATvZy3YdI35QzLBk5Dxhep6m47CP1&#10;qWNKqmbdrtYafrHUljU5v/v8ZdpduEUAri1qJBJ9s8mi9tgODI6uuIJYcP1iRC93NYrvRaQnEbAJ&#10;aBhvhR7xKbVDETdYnFUu/P6XP+VjQIhy1mCzcm7xkDjT3y0GB0AajTAax9GwZ/PgsKoYBnrpTFwI&#10;pEezDM78wgPapBoICStRKec0mg/UbzceoFSbTZeEVfOC9vbgZYJOikW/ORME7HRNovRKDFph2brJ&#10;DA8jbfPrc5f18mew/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nFEXqBoCAABUBAAADgAA&#10;AAAAAAABACAAAAAfAQAAZHJzL2Uyb0RvYy54bWxQSwUGAAAAAAYABgBZAQAAqwUAAAAA&#10;">
              <v:fill on="f" focussize="0,0"/>
              <v:stroke on="f" weight="0.5pt"/>
              <v:imagedata o:title=""/>
              <o:lock v:ext="edit" aspectratio="f"/>
              <v:textbox inset="0mm,0mm,0mm,0mm" style="mso-fit-shape-to-text:t;">
                <w:txbxContent>
                  <w:p w14:paraId="7EBCAC90">
                    <w:pPr>
                      <w:pStyle w:val="37"/>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6ADA4">
    <w:pPr>
      <w:pStyle w:val="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27294F"/>
    <w:multiLevelType w:val="multilevel"/>
    <w:tmpl w:val="F127294F"/>
    <w:lvl w:ilvl="0" w:tentative="0">
      <w:start w:val="1"/>
      <w:numFmt w:val="decimal"/>
      <w:suff w:val="space"/>
      <w:lvlText w:val="%1."/>
      <w:lvlJc w:val="left"/>
      <w:pPr>
        <w:ind w:left="0" w:firstLine="0"/>
      </w:pPr>
      <w:rPr>
        <w:rFonts w:hint="default"/>
      </w:rPr>
    </w:lvl>
    <w:lvl w:ilvl="1" w:tentative="0">
      <w:start w:val="1"/>
      <w:numFmt w:val="decimal"/>
      <w:pStyle w:val="252"/>
      <w:suff w:val="space"/>
      <w:lvlText w:val="%1.%2."/>
      <w:lvlJc w:val="left"/>
      <w:pPr>
        <w:ind w:left="0" w:firstLine="0"/>
      </w:pPr>
      <w:rPr>
        <w:rFonts w:hint="default"/>
        <w:b/>
        <w:bCs/>
        <w:color w:val="auto"/>
      </w:rPr>
    </w:lvl>
    <w:lvl w:ilvl="2" w:tentative="0">
      <w:start w:val="1"/>
      <w:numFmt w:val="decimal"/>
      <w:suff w:val="space"/>
      <w:lvlText w:val="%1.%2.%3."/>
      <w:lvlJc w:val="left"/>
      <w:pPr>
        <w:ind w:left="568"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2">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3">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4">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5">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6">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7">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8">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9">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0">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1">
    <w:nsid w:val="06414DC0"/>
    <w:multiLevelType w:val="singleLevel"/>
    <w:tmpl w:val="06414DC0"/>
    <w:lvl w:ilvl="0" w:tentative="0">
      <w:start w:val="1"/>
      <w:numFmt w:val="decimal"/>
      <w:suff w:val="space"/>
      <w:lvlText w:val="%1."/>
      <w:lvlJc w:val="left"/>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3066ED"/>
    <w:rsid w:val="00050A31"/>
    <w:rsid w:val="000716D2"/>
    <w:rsid w:val="00071AAB"/>
    <w:rsid w:val="00090BBA"/>
    <w:rsid w:val="000926B5"/>
    <w:rsid w:val="000934D2"/>
    <w:rsid w:val="00093A0C"/>
    <w:rsid w:val="000966FF"/>
    <w:rsid w:val="000A1F26"/>
    <w:rsid w:val="000B76C4"/>
    <w:rsid w:val="000C5610"/>
    <w:rsid w:val="000C6F51"/>
    <w:rsid w:val="000D2285"/>
    <w:rsid w:val="000D64E0"/>
    <w:rsid w:val="000E6552"/>
    <w:rsid w:val="000F3A4F"/>
    <w:rsid w:val="000F59AC"/>
    <w:rsid w:val="001018FB"/>
    <w:rsid w:val="00117F04"/>
    <w:rsid w:val="001359C1"/>
    <w:rsid w:val="001364FE"/>
    <w:rsid w:val="001368DD"/>
    <w:rsid w:val="00147DB3"/>
    <w:rsid w:val="001518A5"/>
    <w:rsid w:val="00161553"/>
    <w:rsid w:val="00170095"/>
    <w:rsid w:val="00170E4F"/>
    <w:rsid w:val="001743F4"/>
    <w:rsid w:val="001814F9"/>
    <w:rsid w:val="00187C33"/>
    <w:rsid w:val="00187D0C"/>
    <w:rsid w:val="001936B7"/>
    <w:rsid w:val="00196AB1"/>
    <w:rsid w:val="001D790C"/>
    <w:rsid w:val="00201333"/>
    <w:rsid w:val="00210FA7"/>
    <w:rsid w:val="00216417"/>
    <w:rsid w:val="00222813"/>
    <w:rsid w:val="00225A75"/>
    <w:rsid w:val="00241F76"/>
    <w:rsid w:val="00242BAC"/>
    <w:rsid w:val="0026631D"/>
    <w:rsid w:val="00280C91"/>
    <w:rsid w:val="002907C2"/>
    <w:rsid w:val="00290E35"/>
    <w:rsid w:val="002923A7"/>
    <w:rsid w:val="00292E86"/>
    <w:rsid w:val="00295E1D"/>
    <w:rsid w:val="002B3A40"/>
    <w:rsid w:val="002B558E"/>
    <w:rsid w:val="002B73E2"/>
    <w:rsid w:val="002C2F53"/>
    <w:rsid w:val="002D1A71"/>
    <w:rsid w:val="002E5C7E"/>
    <w:rsid w:val="003037DE"/>
    <w:rsid w:val="0030621C"/>
    <w:rsid w:val="00307F16"/>
    <w:rsid w:val="0033518C"/>
    <w:rsid w:val="003437C2"/>
    <w:rsid w:val="003467B1"/>
    <w:rsid w:val="00377186"/>
    <w:rsid w:val="003A1C03"/>
    <w:rsid w:val="003A61DC"/>
    <w:rsid w:val="003B18E8"/>
    <w:rsid w:val="003C1F17"/>
    <w:rsid w:val="004073FB"/>
    <w:rsid w:val="00414627"/>
    <w:rsid w:val="00420EB5"/>
    <w:rsid w:val="00421D4A"/>
    <w:rsid w:val="00425D63"/>
    <w:rsid w:val="00433082"/>
    <w:rsid w:val="0045454B"/>
    <w:rsid w:val="004643D8"/>
    <w:rsid w:val="004931AC"/>
    <w:rsid w:val="00497C24"/>
    <w:rsid w:val="004C3443"/>
    <w:rsid w:val="004C7BA5"/>
    <w:rsid w:val="004E7628"/>
    <w:rsid w:val="004F48F2"/>
    <w:rsid w:val="005037D6"/>
    <w:rsid w:val="00505D23"/>
    <w:rsid w:val="005149B1"/>
    <w:rsid w:val="00523487"/>
    <w:rsid w:val="00542195"/>
    <w:rsid w:val="0054233B"/>
    <w:rsid w:val="005647F2"/>
    <w:rsid w:val="005662D1"/>
    <w:rsid w:val="00573A09"/>
    <w:rsid w:val="005A0ED8"/>
    <w:rsid w:val="005A4526"/>
    <w:rsid w:val="005B5E21"/>
    <w:rsid w:val="005C1B16"/>
    <w:rsid w:val="005C55A9"/>
    <w:rsid w:val="005C658B"/>
    <w:rsid w:val="005D4302"/>
    <w:rsid w:val="005E3705"/>
    <w:rsid w:val="005E53D0"/>
    <w:rsid w:val="005F33CB"/>
    <w:rsid w:val="006002EB"/>
    <w:rsid w:val="006128EF"/>
    <w:rsid w:val="006264B4"/>
    <w:rsid w:val="00630D11"/>
    <w:rsid w:val="00643033"/>
    <w:rsid w:val="00643FEF"/>
    <w:rsid w:val="00644CC3"/>
    <w:rsid w:val="00647199"/>
    <w:rsid w:val="00661468"/>
    <w:rsid w:val="006649F0"/>
    <w:rsid w:val="0067245D"/>
    <w:rsid w:val="00674EEC"/>
    <w:rsid w:val="00676E5D"/>
    <w:rsid w:val="0068470E"/>
    <w:rsid w:val="00695DCD"/>
    <w:rsid w:val="006A05CC"/>
    <w:rsid w:val="006A35A7"/>
    <w:rsid w:val="006B45CB"/>
    <w:rsid w:val="006B56AB"/>
    <w:rsid w:val="006B62EB"/>
    <w:rsid w:val="006D431F"/>
    <w:rsid w:val="00701085"/>
    <w:rsid w:val="007152D7"/>
    <w:rsid w:val="00732E06"/>
    <w:rsid w:val="007330E0"/>
    <w:rsid w:val="007428CC"/>
    <w:rsid w:val="00746C14"/>
    <w:rsid w:val="00765656"/>
    <w:rsid w:val="00780D9C"/>
    <w:rsid w:val="007873C6"/>
    <w:rsid w:val="007C2C59"/>
    <w:rsid w:val="007E10BB"/>
    <w:rsid w:val="00801F23"/>
    <w:rsid w:val="00821B62"/>
    <w:rsid w:val="00837632"/>
    <w:rsid w:val="00840BA3"/>
    <w:rsid w:val="00851649"/>
    <w:rsid w:val="0085640F"/>
    <w:rsid w:val="008567AA"/>
    <w:rsid w:val="00892712"/>
    <w:rsid w:val="008A680A"/>
    <w:rsid w:val="008B0BB0"/>
    <w:rsid w:val="008B7654"/>
    <w:rsid w:val="008D4CF7"/>
    <w:rsid w:val="008E6C4B"/>
    <w:rsid w:val="008F18C0"/>
    <w:rsid w:val="00907648"/>
    <w:rsid w:val="00917A61"/>
    <w:rsid w:val="00927AA6"/>
    <w:rsid w:val="00930FDE"/>
    <w:rsid w:val="009413F8"/>
    <w:rsid w:val="009540D1"/>
    <w:rsid w:val="00984C93"/>
    <w:rsid w:val="00985453"/>
    <w:rsid w:val="00987CE1"/>
    <w:rsid w:val="0099405C"/>
    <w:rsid w:val="009B1672"/>
    <w:rsid w:val="009B19F0"/>
    <w:rsid w:val="009B3ABD"/>
    <w:rsid w:val="009B7D5F"/>
    <w:rsid w:val="009C600F"/>
    <w:rsid w:val="009C7A63"/>
    <w:rsid w:val="009D3723"/>
    <w:rsid w:val="009D4B7A"/>
    <w:rsid w:val="009E04F2"/>
    <w:rsid w:val="00A03B7B"/>
    <w:rsid w:val="00A04A1A"/>
    <w:rsid w:val="00A1409B"/>
    <w:rsid w:val="00A163B0"/>
    <w:rsid w:val="00A200C9"/>
    <w:rsid w:val="00A250D5"/>
    <w:rsid w:val="00A32CA4"/>
    <w:rsid w:val="00A32F56"/>
    <w:rsid w:val="00A36028"/>
    <w:rsid w:val="00A40CF7"/>
    <w:rsid w:val="00A626E4"/>
    <w:rsid w:val="00A62BC3"/>
    <w:rsid w:val="00A76D95"/>
    <w:rsid w:val="00A851C2"/>
    <w:rsid w:val="00A91424"/>
    <w:rsid w:val="00A9661D"/>
    <w:rsid w:val="00AA2C77"/>
    <w:rsid w:val="00AC3FB9"/>
    <w:rsid w:val="00AC702A"/>
    <w:rsid w:val="00AD226F"/>
    <w:rsid w:val="00AD6B72"/>
    <w:rsid w:val="00AE0118"/>
    <w:rsid w:val="00AF237C"/>
    <w:rsid w:val="00B12350"/>
    <w:rsid w:val="00B13A52"/>
    <w:rsid w:val="00B247D0"/>
    <w:rsid w:val="00B24CF4"/>
    <w:rsid w:val="00B26993"/>
    <w:rsid w:val="00B4570C"/>
    <w:rsid w:val="00B47408"/>
    <w:rsid w:val="00B5208C"/>
    <w:rsid w:val="00B74876"/>
    <w:rsid w:val="00B94172"/>
    <w:rsid w:val="00B9469B"/>
    <w:rsid w:val="00BA02D3"/>
    <w:rsid w:val="00BB6D8D"/>
    <w:rsid w:val="00BB7C2B"/>
    <w:rsid w:val="00BC1664"/>
    <w:rsid w:val="00BC2546"/>
    <w:rsid w:val="00C05085"/>
    <w:rsid w:val="00C14C34"/>
    <w:rsid w:val="00C1593D"/>
    <w:rsid w:val="00C4695C"/>
    <w:rsid w:val="00C56C7E"/>
    <w:rsid w:val="00C776A4"/>
    <w:rsid w:val="00CA2C6C"/>
    <w:rsid w:val="00CC0600"/>
    <w:rsid w:val="00CC78AC"/>
    <w:rsid w:val="00CF0CF1"/>
    <w:rsid w:val="00CF7953"/>
    <w:rsid w:val="00D067BF"/>
    <w:rsid w:val="00D07232"/>
    <w:rsid w:val="00D10245"/>
    <w:rsid w:val="00D21BDD"/>
    <w:rsid w:val="00D65F07"/>
    <w:rsid w:val="00D871D6"/>
    <w:rsid w:val="00D918CB"/>
    <w:rsid w:val="00D92BB7"/>
    <w:rsid w:val="00D96A72"/>
    <w:rsid w:val="00DA7C64"/>
    <w:rsid w:val="00DC76D2"/>
    <w:rsid w:val="00DD30ED"/>
    <w:rsid w:val="00DE1813"/>
    <w:rsid w:val="00DF1EC5"/>
    <w:rsid w:val="00DF7DC0"/>
    <w:rsid w:val="00E24177"/>
    <w:rsid w:val="00E25F55"/>
    <w:rsid w:val="00E33DCB"/>
    <w:rsid w:val="00E62FEE"/>
    <w:rsid w:val="00E64C21"/>
    <w:rsid w:val="00E96F19"/>
    <w:rsid w:val="00EB01FB"/>
    <w:rsid w:val="00EC24C6"/>
    <w:rsid w:val="00EC55E1"/>
    <w:rsid w:val="00ED39A6"/>
    <w:rsid w:val="00EF2933"/>
    <w:rsid w:val="00F00830"/>
    <w:rsid w:val="00F05146"/>
    <w:rsid w:val="00F1115D"/>
    <w:rsid w:val="00F15181"/>
    <w:rsid w:val="00F26E2E"/>
    <w:rsid w:val="00F32D9A"/>
    <w:rsid w:val="00F3513C"/>
    <w:rsid w:val="00F465C5"/>
    <w:rsid w:val="00F47E2C"/>
    <w:rsid w:val="00F5180D"/>
    <w:rsid w:val="00F51B21"/>
    <w:rsid w:val="00F51D87"/>
    <w:rsid w:val="00F75B14"/>
    <w:rsid w:val="00F81D59"/>
    <w:rsid w:val="00F8455C"/>
    <w:rsid w:val="00FC6371"/>
    <w:rsid w:val="00FD221B"/>
    <w:rsid w:val="02C27165"/>
    <w:rsid w:val="12213A4B"/>
    <w:rsid w:val="1409136D"/>
    <w:rsid w:val="20671DC1"/>
    <w:rsid w:val="26EC473C"/>
    <w:rsid w:val="3F542D6E"/>
    <w:rsid w:val="40C02980"/>
    <w:rsid w:val="44D24A75"/>
    <w:rsid w:val="46DE2833"/>
    <w:rsid w:val="4B8F217B"/>
    <w:rsid w:val="4ED96B17"/>
    <w:rsid w:val="546D3D19"/>
    <w:rsid w:val="563066ED"/>
    <w:rsid w:val="62B21879"/>
    <w:rsid w:val="68AD1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unhideWhenUsed="0" w:uiPriority="66" w:semiHidden="0" w:name="Medium List 2 Accent 2"/>
    <w:lsdException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SimHei" w:cs="Arial"/>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style>
  <w:style w:type="paragraph" w:styleId="27">
    <w:name w:val="annotation subject"/>
    <w:basedOn w:val="26"/>
    <w:next w:val="26"/>
    <w:qFormat/>
    <w:uiPriority w:val="0"/>
    <w:rPr>
      <w:b/>
      <w:bCs/>
    </w:rPr>
  </w:style>
  <w:style w:type="paragraph" w:styleId="28">
    <w:name w:val="Date"/>
    <w:basedOn w:val="1"/>
    <w:next w:val="1"/>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qFormat/>
    <w:uiPriority w:val="0"/>
    <w:pPr>
      <w:tabs>
        <w:tab w:val="center" w:pos="4153"/>
        <w:tab w:val="right" w:pos="8306"/>
      </w:tabs>
      <w:snapToGrid w:val="0"/>
    </w:pPr>
    <w:rPr>
      <w:sz w:val="18"/>
      <w:szCs w:val="18"/>
    </w:rPr>
  </w:style>
  <w:style w:type="character" w:styleId="38">
    <w:name w:val="footnote reference"/>
    <w:basedOn w:val="11"/>
    <w:uiPriority w:val="0"/>
    <w:rPr>
      <w:vertAlign w:val="superscript"/>
    </w:rPr>
  </w:style>
  <w:style w:type="paragraph" w:styleId="39">
    <w:name w:val="footnote text"/>
    <w:basedOn w:val="1"/>
    <w:qFormat/>
    <w:uiPriority w:val="0"/>
    <w:pPr>
      <w:snapToGrid w:val="0"/>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rPr>
  </w:style>
  <w:style w:type="character" w:styleId="48">
    <w:name w:val="HTML Sample"/>
    <w:basedOn w:val="11"/>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link w:val="257"/>
    <w:qFormat/>
    <w:uiPriority w:val="0"/>
    <w:rPr>
      <w:sz w:val="24"/>
      <w:szCs w:val="24"/>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22"/>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200"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249">
    <w:name w:val="Style1"/>
    <w:basedOn w:val="1"/>
    <w:uiPriority w:val="0"/>
    <w:pPr>
      <w:spacing w:line="336" w:lineRule="auto"/>
      <w:jc w:val="both"/>
    </w:pPr>
    <w:rPr>
      <w:rFonts w:ascii="Times New Roman" w:hAnsi="Times New Roman" w:cs="Times New Roman"/>
      <w:sz w:val="26"/>
      <w:szCs w:val="26"/>
    </w:rPr>
  </w:style>
  <w:style w:type="paragraph" w:styleId="250">
    <w:name w:val="List Paragraph"/>
    <w:basedOn w:val="1"/>
    <w:qFormat/>
    <w:uiPriority w:val="34"/>
    <w:pPr>
      <w:spacing w:after="160" w:line="259" w:lineRule="auto"/>
      <w:ind w:left="720"/>
      <w:contextualSpacing/>
    </w:pPr>
    <w:rPr>
      <w:rFonts w:eastAsiaTheme="minorHAnsi"/>
      <w:sz w:val="22"/>
      <w:szCs w:val="22"/>
      <w:lang w:eastAsia="en-US"/>
    </w:rPr>
  </w:style>
  <w:style w:type="paragraph" w:customStyle="1" w:styleId="251">
    <w:name w:val="1"/>
    <w:basedOn w:val="1"/>
    <w:link w:val="253"/>
    <w:qFormat/>
    <w:uiPriority w:val="0"/>
    <w:pPr>
      <w:snapToGrid w:val="0"/>
      <w:spacing w:before="120" w:after="120" w:line="360" w:lineRule="auto"/>
      <w:jc w:val="center"/>
      <w:outlineLvl w:val="0"/>
    </w:pPr>
    <w:rPr>
      <w:rFonts w:ascii="Times New Roman" w:hAnsi="Times New Roman" w:cs="Times New Roman"/>
      <w:b/>
      <w:sz w:val="28"/>
      <w:szCs w:val="28"/>
    </w:rPr>
  </w:style>
  <w:style w:type="paragraph" w:customStyle="1" w:styleId="252">
    <w:name w:val="2"/>
    <w:basedOn w:val="1"/>
    <w:link w:val="255"/>
    <w:qFormat/>
    <w:uiPriority w:val="0"/>
    <w:pPr>
      <w:numPr>
        <w:ilvl w:val="1"/>
        <w:numId w:val="11"/>
      </w:numPr>
      <w:snapToGrid w:val="0"/>
      <w:spacing w:before="120" w:after="120" w:line="360" w:lineRule="auto"/>
      <w:jc w:val="both"/>
    </w:pPr>
    <w:rPr>
      <w:rFonts w:ascii="Times New Roman" w:hAnsi="Times New Roman" w:cs="Times New Roman"/>
      <w:b/>
      <w:bCs/>
      <w:sz w:val="26"/>
      <w:szCs w:val="26"/>
    </w:rPr>
  </w:style>
  <w:style w:type="character" w:customStyle="1" w:styleId="253">
    <w:name w:val="1 Char"/>
    <w:basedOn w:val="11"/>
    <w:link w:val="251"/>
    <w:uiPriority w:val="0"/>
    <w:rPr>
      <w:rFonts w:ascii="Times New Roman" w:hAnsi="Times New Roman" w:cs="Times New Roman"/>
      <w:b/>
      <w:sz w:val="28"/>
      <w:szCs w:val="28"/>
      <w:lang w:val="en-US" w:eastAsia="zh-CN"/>
    </w:rPr>
  </w:style>
  <w:style w:type="paragraph" w:customStyle="1" w:styleId="254">
    <w:name w:val="3"/>
    <w:basedOn w:val="1"/>
    <w:link w:val="256"/>
    <w:qFormat/>
    <w:uiPriority w:val="0"/>
    <w:pPr>
      <w:snapToGrid w:val="0"/>
      <w:spacing w:before="120" w:after="120" w:line="360" w:lineRule="auto"/>
      <w:ind w:firstLine="284"/>
      <w:jc w:val="both"/>
    </w:pPr>
    <w:rPr>
      <w:rFonts w:ascii="Times New Roman" w:hAnsi="Times New Roman" w:cs="Times New Roman"/>
      <w:b/>
      <w:bCs/>
      <w:sz w:val="26"/>
      <w:szCs w:val="26"/>
      <w:lang w:val="vi-VN"/>
    </w:rPr>
  </w:style>
  <w:style w:type="character" w:customStyle="1" w:styleId="255">
    <w:name w:val="2 Char"/>
    <w:basedOn w:val="11"/>
    <w:link w:val="252"/>
    <w:uiPriority w:val="0"/>
    <w:rPr>
      <w:rFonts w:ascii="Times New Roman" w:hAnsi="Times New Roman" w:cs="Times New Roman"/>
      <w:b/>
      <w:bCs/>
      <w:sz w:val="26"/>
      <w:szCs w:val="26"/>
      <w:lang w:val="en-US" w:eastAsia="zh-CN"/>
    </w:rPr>
  </w:style>
  <w:style w:type="character" w:customStyle="1" w:styleId="256">
    <w:name w:val="3 Char"/>
    <w:basedOn w:val="11"/>
    <w:link w:val="254"/>
    <w:uiPriority w:val="0"/>
    <w:rPr>
      <w:rFonts w:ascii="Times New Roman" w:hAnsi="Times New Roman" w:cs="Times New Roman"/>
      <w:b/>
      <w:bCs/>
      <w:sz w:val="26"/>
      <w:szCs w:val="26"/>
      <w:lang w:eastAsia="zh-CN"/>
    </w:rPr>
  </w:style>
  <w:style w:type="character" w:customStyle="1" w:styleId="257">
    <w:name w:val="Normal (Web) Char"/>
    <w:basedOn w:val="11"/>
    <w:link w:val="85"/>
    <w:uiPriority w:val="0"/>
    <w:rPr>
      <w:sz w:val="24"/>
      <w:szCs w:val="24"/>
      <w:lang w:val="en-US" w:eastAsia="zh-CN"/>
    </w:rPr>
  </w:style>
  <w:style w:type="paragraph" w:customStyle="1" w:styleId="258">
    <w:name w:val="TOC Heading"/>
    <w:basedOn w:val="2"/>
    <w:next w:val="1"/>
    <w:semiHidden/>
    <w:unhideWhenUsed/>
    <w:qFormat/>
    <w:uiPriority w:val="39"/>
    <w:pPr>
      <w:spacing w:before="240" w:after="0" w:line="240" w:lineRule="auto"/>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59">
    <w:name w:val="Content"/>
    <w:basedOn w:val="1"/>
    <w:autoRedefine/>
    <w:qFormat/>
    <w:uiPriority w:val="0"/>
    <w:pPr>
      <w:spacing w:before="0" w:after="0" w:line="360" w:lineRule="auto"/>
      <w:jc w:val="both"/>
      <w:outlineLvl w:val="9"/>
    </w:pPr>
    <w:rPr>
      <w:rFonts w:eastAsia="Times New Roman"/>
      <w:bCs/>
      <w:kern w:val="0"/>
      <w:sz w:val="26"/>
      <w:szCs w:val="20"/>
      <w:lang w:val="vi-VN"/>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6729</Words>
  <Characters>24098</Characters>
  <Lines>374</Lines>
  <Paragraphs>105</Paragraphs>
  <TotalTime>18</TotalTime>
  <ScaleCrop>false</ScaleCrop>
  <LinksUpToDate>false</LinksUpToDate>
  <CharactersWithSpaces>30767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2026-05-14T03:00:00Z</dcterms:created>
  <dc:creator>MY</dc:creator>
  <cp:lastModifiedBy>minhthong</cp:lastModifiedBy>
  <dcterms:modified xsi:type="dcterms:W3CDTF">2026-06-23T00:53:17Z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5CEC67A718524061AFD6EC37C4026E9D_13</vt:lpwstr>
  </property>
  <property fmtid="{D5CDD505-2E9C-101B-9397-08002B2CF9AE}" pid="4" name="KSOTemplateDocerSaveRecord">
    <vt:lpwstr>eyJoZGlkIjoiMzkwNTA4NzMzMjVhYWI1ODI2YWZlZjY1MjNkZGM3ZWIifQ==</vt:lpwstr>
  </property>
</Properties>
</file>