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33D4" w14:textId="68A791DE" w:rsidR="005E154F" w:rsidRPr="009D3E88" w:rsidRDefault="005E154F" w:rsidP="005E154F">
      <w:pPr>
        <w:spacing w:before="120" w:after="120" w:line="276" w:lineRule="auto"/>
        <w:jc w:val="both"/>
        <w:rPr>
          <w:rFonts w:ascii="Times New Roman" w:hAnsi="Times New Roman" w:cs="Times New Roman"/>
          <w:b/>
          <w:bCs/>
          <w:sz w:val="28"/>
          <w:szCs w:val="28"/>
        </w:rPr>
      </w:pPr>
      <w:bookmarkStart w:id="0" w:name="X7b8bc3dbba35fe39eac0baeadc2d3f6d10347a4"/>
      <w:r w:rsidRPr="009D3E88">
        <w:rPr>
          <w:rFonts w:ascii="Times New Roman" w:hAnsi="Times New Roman" w:cs="Times New Roman"/>
          <w:b/>
          <w:bCs/>
          <w:sz w:val="28"/>
          <w:szCs w:val="28"/>
        </w:rPr>
        <w:t>BÁO CÁO HỌC THUẬT:</w:t>
      </w:r>
    </w:p>
    <w:p w14:paraId="659BB8F1" w14:textId="7A6212A3" w:rsidR="005E154F" w:rsidRPr="009D3E88" w:rsidRDefault="005E154F" w:rsidP="005E154F">
      <w:pPr>
        <w:spacing w:before="120" w:after="120" w:line="276" w:lineRule="auto"/>
        <w:jc w:val="center"/>
        <w:rPr>
          <w:rFonts w:ascii="Times New Roman" w:hAnsi="Times New Roman" w:cs="Times New Roman"/>
          <w:sz w:val="28"/>
          <w:szCs w:val="28"/>
        </w:rPr>
      </w:pPr>
      <w:r w:rsidRPr="009D3E88">
        <w:rPr>
          <w:rFonts w:ascii="Times New Roman" w:hAnsi="Times New Roman" w:cs="Times New Roman"/>
          <w:sz w:val="28"/>
          <w:szCs w:val="28"/>
        </w:rPr>
        <w:t>NĂNG LỰC ĐỔI MỚI SÁNG TẠO SỐ CỦA DOANH NGHIỆP NHỎ VÀ VỪA:</w:t>
      </w:r>
    </w:p>
    <w:p w14:paraId="4E960353" w14:textId="77777777" w:rsidR="00AA703D" w:rsidRDefault="005E154F" w:rsidP="005E154F">
      <w:pPr>
        <w:spacing w:before="120" w:after="120" w:line="276" w:lineRule="auto"/>
        <w:jc w:val="center"/>
        <w:rPr>
          <w:rFonts w:ascii="Times New Roman" w:hAnsi="Times New Roman" w:cs="Times New Roman"/>
          <w:sz w:val="28"/>
          <w:szCs w:val="28"/>
        </w:rPr>
      </w:pPr>
      <w:r w:rsidRPr="009D3E88">
        <w:rPr>
          <w:rFonts w:ascii="Times New Roman" w:hAnsi="Times New Roman" w:cs="Times New Roman"/>
          <w:sz w:val="28"/>
          <w:szCs w:val="28"/>
        </w:rPr>
        <w:t xml:space="preserve">VAI TRÒ CỦA TƯ DUY THIẾT KẾ, DỮ LIỆU KHÁCH HÀNG </w:t>
      </w:r>
    </w:p>
    <w:p w14:paraId="2212D2FD" w14:textId="55559084" w:rsidR="005E154F" w:rsidRPr="009D3E88" w:rsidRDefault="005E154F" w:rsidP="005E154F">
      <w:pPr>
        <w:spacing w:before="120" w:after="120" w:line="276" w:lineRule="auto"/>
        <w:jc w:val="center"/>
        <w:rPr>
          <w:rFonts w:ascii="Times New Roman" w:hAnsi="Times New Roman" w:cs="Times New Roman"/>
          <w:sz w:val="28"/>
          <w:szCs w:val="28"/>
        </w:rPr>
      </w:pPr>
      <w:r w:rsidRPr="009D3E88">
        <w:rPr>
          <w:rFonts w:ascii="Times New Roman" w:hAnsi="Times New Roman" w:cs="Times New Roman"/>
          <w:sz w:val="28"/>
          <w:szCs w:val="28"/>
        </w:rPr>
        <w:t>VÀ NỀN TẢNG SỐ</w:t>
      </w:r>
    </w:p>
    <w:p w14:paraId="7C12F2F3" w14:textId="47DA1E89" w:rsidR="005E154F" w:rsidRPr="005E154F" w:rsidRDefault="005E154F" w:rsidP="005E154F">
      <w:pPr>
        <w:spacing w:before="120" w:after="120" w:line="276" w:lineRule="auto"/>
        <w:jc w:val="right"/>
        <w:rPr>
          <w:rFonts w:ascii="Times New Roman" w:hAnsi="Times New Roman" w:cs="Times New Roman"/>
          <w:i/>
          <w:iCs/>
          <w:szCs w:val="26"/>
        </w:rPr>
      </w:pPr>
      <w:r w:rsidRPr="005E154F">
        <w:rPr>
          <w:rFonts w:ascii="Times New Roman" w:hAnsi="Times New Roman" w:cs="Times New Roman"/>
          <w:i/>
          <w:iCs/>
          <w:szCs w:val="26"/>
        </w:rPr>
        <w:t>Báo cáo viên: Th.S Trần Thị Phương Dung</w:t>
      </w:r>
    </w:p>
    <w:p w14:paraId="7DFF57D9" w14:textId="77777777" w:rsidR="005E154F" w:rsidRPr="005E154F" w:rsidRDefault="005E154F" w:rsidP="005E154F">
      <w:pPr>
        <w:spacing w:before="120" w:after="120" w:line="276" w:lineRule="auto"/>
        <w:jc w:val="right"/>
        <w:rPr>
          <w:rFonts w:ascii="Times New Roman" w:hAnsi="Times New Roman" w:cs="Times New Roman"/>
          <w:i/>
          <w:iCs/>
          <w:szCs w:val="26"/>
        </w:rPr>
      </w:pPr>
      <w:r w:rsidRPr="005E154F">
        <w:rPr>
          <w:rFonts w:ascii="Times New Roman" w:hAnsi="Times New Roman" w:cs="Times New Roman"/>
          <w:i/>
          <w:iCs/>
          <w:szCs w:val="26"/>
        </w:rPr>
        <w:t>Bộ môn: Kinh tế &amp; Kinh doanh số - Khoa Kinh tế &amp; Quản lý</w:t>
      </w:r>
    </w:p>
    <w:p w14:paraId="75C903B6" w14:textId="13ED4517" w:rsidR="00331D60" w:rsidRPr="005E154F" w:rsidRDefault="00EF05C5" w:rsidP="005E154F">
      <w:pPr>
        <w:pStyle w:val="Heading2"/>
        <w:spacing w:before="120" w:after="120" w:line="276" w:lineRule="auto"/>
        <w:jc w:val="both"/>
        <w:rPr>
          <w:rFonts w:ascii="Times New Roman" w:hAnsi="Times New Roman" w:cs="Times New Roman"/>
          <w:b/>
          <w:bCs/>
          <w:color w:val="auto"/>
          <w:sz w:val="26"/>
          <w:szCs w:val="26"/>
          <w:lang w:val="vi-VN"/>
        </w:rPr>
      </w:pPr>
      <w:bookmarkStart w:id="1" w:name="tóm-tắt"/>
      <w:bookmarkStart w:id="2" w:name="Xa655c89b24212ddc38ac45abdc220938a4a0a40"/>
      <w:bookmarkEnd w:id="0"/>
      <w:r w:rsidRPr="005E154F">
        <w:rPr>
          <w:rFonts w:ascii="Times New Roman" w:hAnsi="Times New Roman" w:cs="Times New Roman"/>
          <w:b/>
          <w:bCs/>
          <w:color w:val="auto"/>
          <w:sz w:val="26"/>
          <w:szCs w:val="26"/>
        </w:rPr>
        <w:t>Tóm Tắt</w:t>
      </w:r>
      <w:r w:rsidR="005E154F" w:rsidRPr="005E154F">
        <w:rPr>
          <w:rFonts w:ascii="Times New Roman" w:hAnsi="Times New Roman" w:cs="Times New Roman"/>
          <w:b/>
          <w:bCs/>
          <w:color w:val="auto"/>
          <w:sz w:val="26"/>
          <w:szCs w:val="26"/>
          <w:lang w:val="vi-VN"/>
        </w:rPr>
        <w:t xml:space="preserve"> Nghiên Cứu</w:t>
      </w:r>
    </w:p>
    <w:p w14:paraId="3BA0456B" w14:textId="74F02CD6"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Nghiên cứu này đề xuất và diễn giải một khung khái niệm tích hợp nhằm lý giải bản chất của Năng lực Đổi mới Sáng tạo Số (Digital Innovation Capability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DIC) trong các doanh nghiệp nhỏ và vừa (SMEs). Trái với cách tiếp cận tuyến tính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vốn xem tư duy thiết kế, dữ liệu khách hàng và nền tảng số là ba biến số cộng gộp độc lập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bài viết lập luận rằng DIC chỉ thực sự xuất hiện như một thuộc tính trỗi dậy (emergent property) từ sự tương tác phi tuyến tính của cả ba trụ cột. Dựa trên nền tảng lý thuyết Năng lực Động (Teece et al., 1997), lý thuyết Generativity trong môi trường số (Zittrain, 2006; Yoo et al., 2010), và phương pháp luận tư duy thiết kế (Brown, 2008), bài viết diễn giải cơ chế tạo sinh giá trị tại ba vùng giao thoa, đồng thời đặt khung này trong mối đối thoại phê bình với các mô hình tương đương. Minh chứng thực tiễn từ các bối cảnh SME được phân loại và trình bày có hệ thống. Bài viết kết luận rằng lợi thế cạnh tranh số bền vững của SMEs không đến từ khối lượng công nghệ sở hữu, mà từ năng lực kiến tạo ý nghĩa qua sự cộng hưởng hệ thống giữa ba lớp năng lực: nhận thức người dùng, tri thức hành vi và hạ tầng thực thi.</w:t>
      </w:r>
    </w:p>
    <w:p w14:paraId="6FB52D84" w14:textId="00028F21" w:rsidR="00331D60" w:rsidRPr="005E154F" w:rsidRDefault="005E154F" w:rsidP="005E154F">
      <w:pPr>
        <w:pStyle w:val="Heading2"/>
        <w:spacing w:before="120" w:after="120" w:line="276" w:lineRule="auto"/>
        <w:jc w:val="both"/>
        <w:rPr>
          <w:rFonts w:ascii="Times New Roman" w:hAnsi="Times New Roman" w:cs="Times New Roman"/>
          <w:b/>
          <w:bCs/>
          <w:color w:val="auto"/>
          <w:sz w:val="26"/>
          <w:szCs w:val="26"/>
          <w:lang w:val="vi-VN"/>
        </w:rPr>
      </w:pPr>
      <w:bookmarkStart w:id="3" w:name="giới-thiệu"/>
      <w:bookmarkEnd w:id="1"/>
      <w:r w:rsidRPr="005E154F">
        <w:rPr>
          <w:rFonts w:ascii="Times New Roman" w:hAnsi="Times New Roman" w:cs="Times New Roman"/>
          <w:b/>
          <w:bCs/>
          <w:color w:val="auto"/>
          <w:sz w:val="26"/>
          <w:szCs w:val="26"/>
          <w:lang w:val="vi-VN"/>
        </w:rPr>
        <w:t>I</w:t>
      </w:r>
      <w:r w:rsidRPr="005E154F">
        <w:rPr>
          <w:rFonts w:ascii="Times New Roman" w:hAnsi="Times New Roman" w:cs="Times New Roman"/>
          <w:b/>
          <w:bCs/>
          <w:color w:val="auto"/>
          <w:sz w:val="26"/>
          <w:szCs w:val="26"/>
        </w:rPr>
        <w:t>. GIỚI THIỆU</w:t>
      </w:r>
      <w:r w:rsidRPr="005E154F">
        <w:rPr>
          <w:rFonts w:ascii="Times New Roman" w:hAnsi="Times New Roman" w:cs="Times New Roman"/>
          <w:b/>
          <w:bCs/>
          <w:color w:val="auto"/>
          <w:sz w:val="26"/>
          <w:szCs w:val="26"/>
          <w:lang w:val="vi-VN"/>
        </w:rPr>
        <w:t xml:space="preserve"> CHUNG</w:t>
      </w:r>
    </w:p>
    <w:p w14:paraId="14A01DF0"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4" w:name="bối-cảnh-và-vấn-đề"/>
      <w:r w:rsidRPr="005E154F">
        <w:rPr>
          <w:rFonts w:ascii="Times New Roman" w:hAnsi="Times New Roman" w:cs="Times New Roman"/>
          <w:b/>
          <w:bCs/>
          <w:color w:val="auto"/>
          <w:sz w:val="26"/>
          <w:szCs w:val="26"/>
        </w:rPr>
        <w:t>1.1 Bối Cảnh và Vấn Đề</w:t>
      </w:r>
    </w:p>
    <w:p w14:paraId="5DA932C3" w14:textId="1C565A6E"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Trong thập kỷ vừa qua, số hóa đã trở thành một mệnh lệnh sinh tồn chứ không còn là lựa chọn chiến lược tùy ý của doanh nghiệp (Vial, 2019). Tuy nhiên, bức tranh chuyển đổi số của các doanh nghiệp nhỏ và vừa (SMEs) mang một nghịch lý đáng lo ngại: trong khi áp lực cạnh tranh số ngày càng gia tăng, tỷ lệ thất bại của các dự án số hóa tại SMEs dao động từ 60% đến 70% (McKinsey Global Institute, 2018). Nguồn gốc của nghịch lý này không nằm ở thiếu hụt công nghệ, mà nằm ở cách tư duy về chuyển đổi số: phần lớn SMEs tiếp cận số hóa theo tư duy quy giản tuyến tính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đầu tư vào từng giải pháp công nghệ riêng lẻ với kỳ vọng mỗi hệ thống sẽ tự tạo ra giá trị độc lập.</w:t>
      </w:r>
    </w:p>
    <w:p w14:paraId="3F0D53FB" w14:textId="77777777"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Thực tế vận hành cho thấy điều ngược lại. Một SME có phần mềm CRM đắt tiền nhưng không có tư duy thiết kế để khai thác dữ liệu khách hàng sẽ chỉ sở hữu một kho dữ liệu </w:t>
      </w:r>
      <w:r w:rsidRPr="005E154F">
        <w:rPr>
          <w:rFonts w:ascii="Times New Roman" w:hAnsi="Times New Roman" w:cs="Times New Roman"/>
          <w:sz w:val="26"/>
          <w:szCs w:val="26"/>
        </w:rPr>
        <w:lastRenderedPageBreak/>
        <w:t>tĩnh. Một SME có đội ngũ tư duy thiết kế xuất sắc nhưng thiếu nền tảng số để thử nghiệm sẽ mãi bị mắc kẹt ở giai đoạn ý tưởng. Và một SME có nền tảng số hoàn hảo nhưng không thu thập và giải mã dữ liệu hành vi khách hàng sẽ vận hành trong màn sương mù chiến lược.</w:t>
      </w:r>
    </w:p>
    <w:p w14:paraId="7D5BA8A9"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5" w:name="khoảng-trống-lý-thuyết"/>
      <w:bookmarkEnd w:id="4"/>
      <w:r w:rsidRPr="005E154F">
        <w:rPr>
          <w:rFonts w:ascii="Times New Roman" w:hAnsi="Times New Roman" w:cs="Times New Roman"/>
          <w:b/>
          <w:bCs/>
          <w:color w:val="auto"/>
          <w:sz w:val="26"/>
          <w:szCs w:val="26"/>
        </w:rPr>
        <w:t>1.2 Khoảng Trống Lý Thuyết</w:t>
      </w:r>
    </w:p>
    <w:p w14:paraId="40624B7D" w14:textId="0AAA1128"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Tài liệu học thuật hiện có đã ghi nhận vai trò của từng yếu tố riêng lẻ: tư duy thiết kế đã được chứng minh là công cụ chiến lược nâng cao đổi mới tổ chức (Brown, 2008; Elsbach &amp; Stigliani, 2018); phân tích dữ liệu khách hàng được xác nhận là yếu tố nâng cao khả năng cá nhân hóa và giữ chân khách hàng (Rialti et al., 2019; McAfee &amp; Brynjolfsson, 2012); nền tảng số đã được phân tích như hệ sinh thái mở khóa năng lực đổi mới phân tán (Parker et al., 2016; Tiwana, 2014). Tuy nhiên, chưa có nghiên cứu nào diễn giải một cách hệ thống cơ chế mà ba yếu tố này, khi tương tác đồng thời, tạo ra một năng lực đổi mới có tính trỗi dậy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một thuộc tính không thể suy ra từ việc cộng gộp ba tác động riêng lẻ. Đây chính là khoảng trống mà bài viết này hướng đến.</w:t>
      </w:r>
    </w:p>
    <w:p w14:paraId="15F6CA10"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6" w:name="mục-đích-và-cấu-trúc-bài-viết"/>
      <w:bookmarkEnd w:id="5"/>
      <w:r w:rsidRPr="005E154F">
        <w:rPr>
          <w:rFonts w:ascii="Times New Roman" w:hAnsi="Times New Roman" w:cs="Times New Roman"/>
          <w:b/>
          <w:bCs/>
          <w:color w:val="auto"/>
          <w:sz w:val="26"/>
          <w:szCs w:val="26"/>
        </w:rPr>
        <w:t>1.3 Mục Đích và Cấu Trúc Bài Viết</w:t>
      </w:r>
    </w:p>
    <w:p w14:paraId="37B27E83"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Bài viết này có hai mục đích chính:</w:t>
      </w:r>
    </w:p>
    <w:p w14:paraId="55AC31FE" w14:textId="08601FCD" w:rsidR="00331D60" w:rsidRPr="005E154F" w:rsidRDefault="00EF05C5" w:rsidP="00AA703D">
      <w:pPr>
        <w:numPr>
          <w:ilvl w:val="0"/>
          <w:numId w:val="8"/>
        </w:numPr>
        <w:spacing w:before="120" w:after="120" w:line="276" w:lineRule="auto"/>
        <w:ind w:left="426"/>
        <w:jc w:val="both"/>
        <w:rPr>
          <w:rFonts w:ascii="Times New Roman" w:hAnsi="Times New Roman" w:cs="Times New Roman"/>
          <w:sz w:val="26"/>
          <w:szCs w:val="26"/>
        </w:rPr>
      </w:pPr>
      <w:r w:rsidRPr="005E154F">
        <w:rPr>
          <w:rFonts w:ascii="Times New Roman" w:hAnsi="Times New Roman" w:cs="Times New Roman"/>
          <w:sz w:val="26"/>
          <w:szCs w:val="26"/>
        </w:rPr>
        <w:t xml:space="preserve">Xây dựng và diễn giải một khung khái niệm tích hợp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gọi là Khung Cộng hưởng Hệ thống DIC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lý giải cơ chế tạo sinh Năng lực Đổi mới Sáng tạo Số tại SMEs thông qua sự giao thoa của Tư duy Thiết kế, Dữ liệu Khách hàng và Nền tảng Số.</w:t>
      </w:r>
    </w:p>
    <w:p w14:paraId="4A06C546" w14:textId="77777777" w:rsidR="00331D60" w:rsidRPr="005E154F" w:rsidRDefault="00EF05C5" w:rsidP="00AA703D">
      <w:pPr>
        <w:numPr>
          <w:ilvl w:val="0"/>
          <w:numId w:val="8"/>
        </w:numPr>
        <w:spacing w:before="120" w:after="120" w:line="276" w:lineRule="auto"/>
        <w:ind w:left="426"/>
        <w:jc w:val="both"/>
        <w:rPr>
          <w:rFonts w:ascii="Times New Roman" w:hAnsi="Times New Roman" w:cs="Times New Roman"/>
          <w:sz w:val="26"/>
          <w:szCs w:val="26"/>
        </w:rPr>
      </w:pPr>
      <w:r w:rsidRPr="005E154F">
        <w:rPr>
          <w:rFonts w:ascii="Times New Roman" w:hAnsi="Times New Roman" w:cs="Times New Roman"/>
          <w:sz w:val="26"/>
          <w:szCs w:val="26"/>
        </w:rPr>
        <w:t>Đặt khung này trong đối thoại học thuật phê bình với các mô hình lý thuyết tương đương, đồng thời kiểm định tính hợp lệ khái niệm qua các ví dụ thực chứng được phân loại có hệ thống.</w:t>
      </w:r>
    </w:p>
    <w:p w14:paraId="00CAECC5"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Bài viết được tổ chức như sau: Mục 2 xác định phạm vi khái niệm; Mục 3 trình bày nền tảng lý thuyết; Mục 4 diễn giải ba trụ cột và cơ chế giao thoa; Mục 5 so sánh với các khung tương đương; Mục 6 trình bày minh chứng thực tiễn; Mục 7 xử lý các phản luận; Mục 8 xác định điều kiện biên; Mục 9 kết luận.</w:t>
      </w:r>
    </w:p>
    <w:p w14:paraId="3F9BAD7E" w14:textId="6E303C5C" w:rsidR="00331D60" w:rsidRPr="005E154F"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7" w:name="xác-định-khái-niệm-và-phạm-vi"/>
      <w:bookmarkEnd w:id="3"/>
      <w:bookmarkEnd w:id="6"/>
      <w:r w:rsidRPr="005E154F">
        <w:rPr>
          <w:rFonts w:ascii="Times New Roman" w:hAnsi="Times New Roman" w:cs="Times New Roman"/>
          <w:b/>
          <w:bCs/>
          <w:color w:val="auto"/>
          <w:sz w:val="26"/>
          <w:szCs w:val="26"/>
          <w:lang w:val="vi-VN"/>
        </w:rPr>
        <w:t>II</w:t>
      </w:r>
      <w:r w:rsidRPr="005E154F">
        <w:rPr>
          <w:rFonts w:ascii="Times New Roman" w:hAnsi="Times New Roman" w:cs="Times New Roman"/>
          <w:b/>
          <w:bCs/>
          <w:color w:val="auto"/>
          <w:sz w:val="26"/>
          <w:szCs w:val="26"/>
        </w:rPr>
        <w:t>. XÁC ĐỊNH KHÁI NIỆM VÀ PHẠM VI</w:t>
      </w:r>
    </w:p>
    <w:p w14:paraId="525B849C"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8" w:name="X236203bbffaf61731cb09aa8ed9333a7f3b4206"/>
      <w:r w:rsidRPr="005E154F">
        <w:rPr>
          <w:rFonts w:ascii="Times New Roman" w:hAnsi="Times New Roman" w:cs="Times New Roman"/>
          <w:b/>
          <w:bCs/>
          <w:color w:val="auto"/>
          <w:sz w:val="26"/>
          <w:szCs w:val="26"/>
        </w:rPr>
        <w:t>2.1 Doanh Nghiệp Nhỏ và Vừa (SMEs) trong Bài Viết Này</w:t>
      </w:r>
    </w:p>
    <w:p w14:paraId="1BFB3A5A" w14:textId="2FAA6126"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Trong phạm vi bài viết này, SMEs được hiểu là các doanh nghiệp có dưới 200 lao động và doanh thu hàng năm không vượt quá ngưỡng quy định của quốc gia (tương ứng với tiêu chí của Nghị định 80/2021/NĐ-CP đối với bối cảnh Việt Nam, hoặc khuyến nghị của Ủy ban Châu Âu đối với bối cảnh quốc tế). Đặc biệt, bài viết tập trung vào SMEs hoạt động trong lĩnh vực dịch vụ và thương mại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nơi sự tiếp xúc trực tiếp với khách hàng và </w:t>
      </w:r>
      <w:r w:rsidRPr="005E154F">
        <w:rPr>
          <w:rFonts w:ascii="Times New Roman" w:hAnsi="Times New Roman" w:cs="Times New Roman"/>
          <w:sz w:val="26"/>
          <w:szCs w:val="26"/>
        </w:rPr>
        <w:lastRenderedPageBreak/>
        <w:t xml:space="preserve">dữ liệu hành vi là yếu tố trung tâm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thay vì các SMEs trong sản xuất thuần túy, vốn có cấu trúc năng lực số khác biệt đáng kể.</w:t>
      </w:r>
    </w:p>
    <w:p w14:paraId="0FFA54D5"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9" w:name="năng-lực-đổi-mới-sáng-tạo-số-dic"/>
      <w:bookmarkEnd w:id="8"/>
      <w:r w:rsidRPr="005E154F">
        <w:rPr>
          <w:rFonts w:ascii="Times New Roman" w:hAnsi="Times New Roman" w:cs="Times New Roman"/>
          <w:b/>
          <w:bCs/>
          <w:color w:val="auto"/>
          <w:sz w:val="26"/>
          <w:szCs w:val="26"/>
        </w:rPr>
        <w:t>2.2 Năng Lực Đổi Mới Sáng Tạo Số (DIC)</w:t>
      </w:r>
    </w:p>
    <w:p w14:paraId="11952375" w14:textId="585204DE"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Dựa trên nền tảng của Nwankpa và Roumani (2016), bài viết này định nghĩa Năng lực Đổi mới Sáng tạo Số là khả năng của tổ chức trong việc liên tục tạo ra, thử nghiệm và thương mại hóa các cấu hình giá trị mới thông qua sự kết hợp có chủ đích giữa công nghệ số, tri thức người dùng và quy trình đổi mới. Khác với năng lực đổi mới truyền thống, DIC có ba đặc tính cốt lõi: (1) tính lặp lại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phải đổi mới một lần mà là vòng lặp liên tục; (2) tính dữ liệu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mọi quyết định đổi mới được dẫn dắt bởi bằng chứng hành vi số; (3) tính mô-đun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khả năng tái kết hợp các thành phần công nghệ và dịch vụ nhanh chóng với chi phí biên thấp.</w:t>
      </w:r>
    </w:p>
    <w:p w14:paraId="217DFC33"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0" w:name="phạm-vi-của-ba-trụ-cột"/>
      <w:bookmarkEnd w:id="9"/>
      <w:r w:rsidRPr="005E154F">
        <w:rPr>
          <w:rFonts w:ascii="Times New Roman" w:hAnsi="Times New Roman" w:cs="Times New Roman"/>
          <w:b/>
          <w:bCs/>
          <w:color w:val="auto"/>
          <w:sz w:val="26"/>
          <w:szCs w:val="26"/>
        </w:rPr>
        <w:t>2.3 Phạm Vi của Ba Trụ Cột</w:t>
      </w:r>
    </w:p>
    <w:p w14:paraId="7940E8F2"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Để tránh nhầm lẫn trong diễn giải, ba trụ cột trong bài này được giới hạn rõ ràng:</w:t>
      </w:r>
    </w:p>
    <w:p w14:paraId="4A358380" w14:textId="0700DD0B" w:rsidR="00331D60" w:rsidRPr="005E154F" w:rsidRDefault="00EF05C5" w:rsidP="00AA703D">
      <w:pPr>
        <w:numPr>
          <w:ilvl w:val="0"/>
          <w:numId w:val="7"/>
        </w:numPr>
        <w:spacing w:before="120" w:after="120" w:line="276" w:lineRule="auto"/>
        <w:ind w:left="426"/>
        <w:jc w:val="both"/>
        <w:rPr>
          <w:rFonts w:ascii="Times New Roman" w:hAnsi="Times New Roman" w:cs="Times New Roman"/>
          <w:sz w:val="26"/>
          <w:szCs w:val="26"/>
        </w:rPr>
      </w:pPr>
      <w:r w:rsidRPr="005E154F">
        <w:rPr>
          <w:rFonts w:ascii="Times New Roman" w:hAnsi="Times New Roman" w:cs="Times New Roman"/>
          <w:sz w:val="26"/>
          <w:szCs w:val="26"/>
        </w:rPr>
        <w:t xml:space="preserve">Tư duy Thiết kế (Design Thinking </w:t>
      </w:r>
      <w:r w:rsidR="009D3E88">
        <w:rPr>
          <w:rFonts w:ascii="Times New Roman" w:hAnsi="Times New Roman" w:cs="Times New Roman"/>
          <w:sz w:val="26"/>
          <w:szCs w:val="26"/>
          <w:lang w:val="en-US"/>
        </w:rPr>
        <w:t>-</w:t>
      </w:r>
      <w:r w:rsidRPr="005E154F">
        <w:rPr>
          <w:rFonts w:ascii="Times New Roman" w:hAnsi="Times New Roman" w:cs="Times New Roman"/>
          <w:sz w:val="26"/>
          <w:szCs w:val="26"/>
        </w:rPr>
        <w:t xml:space="preserve"> DT): Không phải thiết kế thẩm mỹ hay đồ họa, mà là phương pháp luận giải quyết vấn đề lấy con người làm trung tâm, bao gồm các giai đoạn: thấu cảm → định nghĩa vấn đề → ý tưởng hóa → tạo mẫu → kiểm thử (Brown, 2008). Trong bài này, DT được xem là một năng lực quy trình của tổ chức, không phải kỹ năng cá nhân.</w:t>
      </w:r>
    </w:p>
    <w:p w14:paraId="02029B72" w14:textId="376537C9" w:rsidR="00331D60" w:rsidRPr="005E154F" w:rsidRDefault="00EF05C5" w:rsidP="00AA703D">
      <w:pPr>
        <w:numPr>
          <w:ilvl w:val="0"/>
          <w:numId w:val="7"/>
        </w:numPr>
        <w:spacing w:before="120" w:after="120" w:line="276" w:lineRule="auto"/>
        <w:ind w:left="426"/>
        <w:jc w:val="both"/>
        <w:rPr>
          <w:rFonts w:ascii="Times New Roman" w:hAnsi="Times New Roman" w:cs="Times New Roman"/>
          <w:sz w:val="26"/>
          <w:szCs w:val="26"/>
        </w:rPr>
      </w:pPr>
      <w:r w:rsidRPr="005E154F">
        <w:rPr>
          <w:rFonts w:ascii="Times New Roman" w:hAnsi="Times New Roman" w:cs="Times New Roman"/>
          <w:sz w:val="26"/>
          <w:szCs w:val="26"/>
        </w:rPr>
        <w:t xml:space="preserve">Dữ liệu Khách hàng (Customer Data </w:t>
      </w:r>
      <w:r w:rsidR="009D3E88">
        <w:rPr>
          <w:rFonts w:ascii="Times New Roman" w:hAnsi="Times New Roman" w:cs="Times New Roman"/>
          <w:sz w:val="26"/>
          <w:szCs w:val="26"/>
          <w:lang w:val="en-US"/>
        </w:rPr>
        <w:t>-</w:t>
      </w:r>
      <w:r w:rsidRPr="005E154F">
        <w:rPr>
          <w:rFonts w:ascii="Times New Roman" w:hAnsi="Times New Roman" w:cs="Times New Roman"/>
          <w:sz w:val="26"/>
          <w:szCs w:val="26"/>
        </w:rPr>
        <w:t xml:space="preserve"> CD): Bao gồm dữ liệu hành vi (clickstream, purchase history, engagement data), dữ liệu giao dịch (transactional data) và dữ liệu phản hồi (feedback, review data). Bài viết không bàn đến big data ở quy mô doanh nghiệp lớn, mà tập trung vào phân tích vi mô (micro-analytics)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khả năng SMEs khai thác dữ liệu họ thực sự sở hữu từ các điểm tiếp xúc số với khách hàng.</w:t>
      </w:r>
    </w:p>
    <w:p w14:paraId="39122501" w14:textId="1BA1911D" w:rsidR="00331D60" w:rsidRPr="005E154F" w:rsidRDefault="00EF05C5" w:rsidP="00AA703D">
      <w:pPr>
        <w:numPr>
          <w:ilvl w:val="0"/>
          <w:numId w:val="7"/>
        </w:numPr>
        <w:spacing w:before="120" w:after="120" w:line="276" w:lineRule="auto"/>
        <w:ind w:left="426"/>
        <w:jc w:val="both"/>
        <w:rPr>
          <w:rFonts w:ascii="Times New Roman" w:hAnsi="Times New Roman" w:cs="Times New Roman"/>
          <w:sz w:val="26"/>
          <w:szCs w:val="26"/>
        </w:rPr>
      </w:pPr>
      <w:r w:rsidRPr="005E154F">
        <w:rPr>
          <w:rFonts w:ascii="Times New Roman" w:hAnsi="Times New Roman" w:cs="Times New Roman"/>
          <w:sz w:val="26"/>
          <w:szCs w:val="26"/>
        </w:rPr>
        <w:t xml:space="preserve">Nền Tảng Số (Digital Platform </w:t>
      </w:r>
      <w:r w:rsidR="009D3E88">
        <w:rPr>
          <w:rFonts w:ascii="Times New Roman" w:hAnsi="Times New Roman" w:cs="Times New Roman"/>
          <w:sz w:val="26"/>
          <w:szCs w:val="26"/>
          <w:lang w:val="en-US"/>
        </w:rPr>
        <w:t>-</w:t>
      </w:r>
      <w:r w:rsidRPr="005E154F">
        <w:rPr>
          <w:rFonts w:ascii="Times New Roman" w:hAnsi="Times New Roman" w:cs="Times New Roman"/>
          <w:sz w:val="26"/>
          <w:szCs w:val="26"/>
        </w:rPr>
        <w:t xml:space="preserve"> DP): Được hiểu là hệ sinh thái kỹ thuật số cho phép tương tác nhiều chiều giữa các bên (Parker et al., 2016), bao gồm cloud infrastructure, SaaS tools, API-connected systems và các hệ thống low-code/no-code. Bài viết phân biệt giữa nền tảng giao dịch (transaction platforms như sàn thương mại điện tử) và nền tảng đổi mới (innovation platforms như AWS, Shopify, Notion)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trọng tâm là loại sau.</w:t>
      </w:r>
    </w:p>
    <w:p w14:paraId="29EB1CC3" w14:textId="028F8FC4" w:rsidR="00331D60" w:rsidRPr="005E154F"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11" w:name="nền-tảng-lý-thuyết"/>
      <w:bookmarkEnd w:id="7"/>
      <w:bookmarkEnd w:id="10"/>
      <w:r w:rsidRPr="005E154F">
        <w:rPr>
          <w:rFonts w:ascii="Times New Roman" w:hAnsi="Times New Roman" w:cs="Times New Roman"/>
          <w:b/>
          <w:bCs/>
          <w:color w:val="auto"/>
          <w:sz w:val="26"/>
          <w:szCs w:val="26"/>
          <w:lang w:val="vi-VN"/>
        </w:rPr>
        <w:t>III</w:t>
      </w:r>
      <w:r w:rsidRPr="005E154F">
        <w:rPr>
          <w:rFonts w:ascii="Times New Roman" w:hAnsi="Times New Roman" w:cs="Times New Roman"/>
          <w:b/>
          <w:bCs/>
          <w:color w:val="auto"/>
          <w:sz w:val="26"/>
          <w:szCs w:val="26"/>
        </w:rPr>
        <w:t>. NỀN TẢNG LÝ THUYẾT</w:t>
      </w:r>
    </w:p>
    <w:p w14:paraId="3BBB1ED6"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2" w:name="X0a4a955df7d9a70878dce5872486dc7abbdefbb"/>
      <w:r w:rsidRPr="005E154F">
        <w:rPr>
          <w:rFonts w:ascii="Times New Roman" w:hAnsi="Times New Roman" w:cs="Times New Roman"/>
          <w:b/>
          <w:bCs/>
          <w:color w:val="auto"/>
          <w:sz w:val="26"/>
          <w:szCs w:val="26"/>
        </w:rPr>
        <w:t>3.1 Lý Thuyết Năng Lực Động (Dynamic Capability Theory)</w:t>
      </w:r>
    </w:p>
    <w:p w14:paraId="149AC1D9"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Nền tảng lý thuyết chủ đạo của khung này là Lý thuyết Năng lực Động (DCT) được đặt nền móng bởi Teece, Pisano và Shuen (1997). Theo DCT, lợi thế cạnh tranh bền vững của doanh nghiệp không đến từ tài sản tĩnh (vốn, công nghệ, nhân lực) mà từ khả năng </w:t>
      </w:r>
      <w:r w:rsidRPr="005E154F">
        <w:rPr>
          <w:rFonts w:ascii="Times New Roman" w:hAnsi="Times New Roman" w:cs="Times New Roman"/>
          <w:sz w:val="26"/>
          <w:szCs w:val="26"/>
        </w:rPr>
        <w:lastRenderedPageBreak/>
        <w:t xml:space="preserve">tích hợp, xây dựng và tái cấu hình các năng lực nội bộ và ngoại vi để thích ứng với môi trường thay đổi nhanh. Teece (2007) sau đó phân tích DCT thành ba khả năng cấu thành: </w:t>
      </w:r>
      <w:r w:rsidRPr="005E154F">
        <w:rPr>
          <w:rFonts w:ascii="Times New Roman" w:hAnsi="Times New Roman" w:cs="Times New Roman"/>
          <w:i/>
          <w:iCs/>
          <w:sz w:val="26"/>
          <w:szCs w:val="26"/>
        </w:rPr>
        <w:t>Sensing</w:t>
      </w:r>
      <w:r w:rsidRPr="005E154F">
        <w:rPr>
          <w:rFonts w:ascii="Times New Roman" w:hAnsi="Times New Roman" w:cs="Times New Roman"/>
          <w:sz w:val="26"/>
          <w:szCs w:val="26"/>
        </w:rPr>
        <w:t xml:space="preserve"> (nhận diện cơ hội và mối đe dọa), </w:t>
      </w:r>
      <w:r w:rsidRPr="005E154F">
        <w:rPr>
          <w:rFonts w:ascii="Times New Roman" w:hAnsi="Times New Roman" w:cs="Times New Roman"/>
          <w:i/>
          <w:iCs/>
          <w:sz w:val="26"/>
          <w:szCs w:val="26"/>
        </w:rPr>
        <w:t>Seizing</w:t>
      </w:r>
      <w:r w:rsidRPr="005E154F">
        <w:rPr>
          <w:rFonts w:ascii="Times New Roman" w:hAnsi="Times New Roman" w:cs="Times New Roman"/>
          <w:sz w:val="26"/>
          <w:szCs w:val="26"/>
        </w:rPr>
        <w:t xml:space="preserve"> (huy động nguồn lực để nắm bắt cơ hội), và </w:t>
      </w:r>
      <w:r w:rsidRPr="005E154F">
        <w:rPr>
          <w:rFonts w:ascii="Times New Roman" w:hAnsi="Times New Roman" w:cs="Times New Roman"/>
          <w:i/>
          <w:iCs/>
          <w:sz w:val="26"/>
          <w:szCs w:val="26"/>
        </w:rPr>
        <w:t>Transforming</w:t>
      </w:r>
      <w:r w:rsidRPr="005E154F">
        <w:rPr>
          <w:rFonts w:ascii="Times New Roman" w:hAnsi="Times New Roman" w:cs="Times New Roman"/>
          <w:sz w:val="26"/>
          <w:szCs w:val="26"/>
        </w:rPr>
        <w:t xml:space="preserve"> (tái cấu hình liên tục để duy trì khả năng cạnh tranh).</w:t>
      </w:r>
    </w:p>
    <w:p w14:paraId="100B6DF6" w14:textId="2B673C0D"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Eisenhardt và Martin (2000) bổ sung rằng năng lực động không phải là những quy trình mờ nhạt và khó đo, mà là những tập hợp quy trình cụ thể có thể nhận diện và học hỏi. Trong khung của bài viết này, ba trụ cột DT, CD và DP được ánh xạ lần lượt vào ba chiều của DCT: DT là năng lực </w:t>
      </w:r>
      <w:r w:rsidRPr="005E154F">
        <w:rPr>
          <w:rFonts w:ascii="Times New Roman" w:hAnsi="Times New Roman" w:cs="Times New Roman"/>
          <w:i/>
          <w:iCs/>
          <w:sz w:val="26"/>
          <w:szCs w:val="26"/>
        </w:rPr>
        <w:t>Sensing</w:t>
      </w:r>
      <w:r w:rsidRPr="005E154F">
        <w:rPr>
          <w:rFonts w:ascii="Times New Roman" w:hAnsi="Times New Roman" w:cs="Times New Roman"/>
          <w:sz w:val="26"/>
          <w:szCs w:val="26"/>
        </w:rPr>
        <w:t xml:space="preserve"> (nhận diện và giải mã nhu cầu người dùng), CD là năng lực </w:t>
      </w:r>
      <w:r w:rsidRPr="005E154F">
        <w:rPr>
          <w:rFonts w:ascii="Times New Roman" w:hAnsi="Times New Roman" w:cs="Times New Roman"/>
          <w:i/>
          <w:iCs/>
          <w:sz w:val="26"/>
          <w:szCs w:val="26"/>
        </w:rPr>
        <w:t>Seizing</w:t>
      </w:r>
      <w:r w:rsidRPr="005E154F">
        <w:rPr>
          <w:rFonts w:ascii="Times New Roman" w:hAnsi="Times New Roman" w:cs="Times New Roman"/>
          <w:sz w:val="26"/>
          <w:szCs w:val="26"/>
        </w:rPr>
        <w:t xml:space="preserve"> (khai thác bằng chứng để định hướng quyết định), và DP là năng lực </w:t>
      </w:r>
      <w:r w:rsidRPr="005E154F">
        <w:rPr>
          <w:rFonts w:ascii="Times New Roman" w:hAnsi="Times New Roman" w:cs="Times New Roman"/>
          <w:i/>
          <w:iCs/>
          <w:sz w:val="26"/>
          <w:szCs w:val="26"/>
        </w:rPr>
        <w:t>Transforming</w:t>
      </w:r>
      <w:r w:rsidRPr="005E154F">
        <w:rPr>
          <w:rFonts w:ascii="Times New Roman" w:hAnsi="Times New Roman" w:cs="Times New Roman"/>
          <w:sz w:val="26"/>
          <w:szCs w:val="26"/>
        </w:rPr>
        <w:t xml:space="preserve"> (tái cấu hình và triển khai nhanh). Tuy nhiên, điểm then chốt của bài viết là: sự tương tác giữa ba chiều này tạo ra một chiều thứ tư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Generating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vốn không có trong mô hình DCT gốc.</w:t>
      </w:r>
    </w:p>
    <w:p w14:paraId="21863ED3"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3" w:name="Xe42db18ef3c6941b7ef212e337dc52bbbab7f3c"/>
      <w:bookmarkEnd w:id="12"/>
      <w:r w:rsidRPr="005E154F">
        <w:rPr>
          <w:rFonts w:ascii="Times New Roman" w:hAnsi="Times New Roman" w:cs="Times New Roman"/>
          <w:b/>
          <w:bCs/>
          <w:color w:val="auto"/>
          <w:sz w:val="26"/>
          <w:szCs w:val="26"/>
        </w:rPr>
        <w:t>3.2 Lý Thuyết Tính Sinh Tạo trong Môi Trường Số (Generativity Theory)</w:t>
      </w:r>
    </w:p>
    <w:p w14:paraId="3624F0EE" w14:textId="7B7613C0"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Khái niệm trung tâm của bài viết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Năng lực sinh tạo (Generative Capacity)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được neo vào lý thuyết Generativity của Zittrain (2006), người định nghĩa generativity là “khả năng của một hệ thống sản xuất ra các kết quả chưa được kỳ vọng từ các đối tượng đa dạng, không được kiểm soát trước.” Yoo, Boland, Lyytinen và Majchrzak (2010) đã mở rộng khái niệm này vào bối cảnh đổi mới tổ chức kỹ thuật số, lập luận rằng các hệ thống số có khả năng kết hợp lại (recombination)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liên tục tạo ra cấu hình giá trị mới từ các thành phần hiện có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chính là nguồn gốc của đổi mới phi tuyến tính.</w:t>
      </w:r>
    </w:p>
    <w:p w14:paraId="423BB0DA" w14:textId="5BACB35B"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Trong bối cảnh SMEs, Generative Capacity không yêu cầu nguồn lực khổng lồ. Điều nó yêu cầu là kiến trúc hệ thống mở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một môi trường nơi dữ liệu, ý tưởng thiết kế và công cụ nền tảng có thể chạm nhau, kết hợp và tạo ra thứ chưa được lập trình trước. Đây chính là cơ sở để bài viết lập luận rằng sự giao thoa của DT, CD và DP tạo ra Generative Capacity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phải bằng cách cộng gộp, mà bằng cách kích hoạt các vòng lặp phản hồi tương hỗ giữa ba trụ cột.</w:t>
      </w:r>
    </w:p>
    <w:p w14:paraId="06FC8599"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4" w:name="Xb276efceddbf52ec2b15ed347561aa2b871a260"/>
      <w:bookmarkEnd w:id="13"/>
      <w:r w:rsidRPr="005E154F">
        <w:rPr>
          <w:rFonts w:ascii="Times New Roman" w:hAnsi="Times New Roman" w:cs="Times New Roman"/>
          <w:b/>
          <w:bCs/>
          <w:color w:val="auto"/>
          <w:sz w:val="26"/>
          <w:szCs w:val="26"/>
        </w:rPr>
        <w:t>3.3 Tư Duy Thiết Kế như Phương Pháp Luận Tổ Chức</w:t>
      </w:r>
    </w:p>
    <w:p w14:paraId="209DEF5D" w14:textId="06BF6FB4"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Brown (2008) trong bài viết nền tảng trên Harvard Business Review đã đặt lại vị trí của Design Thinking từ một kỹ thuật sáng tạo sang một tư duy chiến lược tổ chức. Ông xác định ba tiêu chí của một giải pháp đổi mới: Desirability (người dùng thực sự muốn nó), Feasibility (kỹ thuật có thể thực hiện được), và Viability (có thể tạo ra mô hình kinh doanh bền vững). Điểm giao nhau của ba tiêu chí này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chứ không phải sự tối ưu hóa từng tiêu chí riêng lẻ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là nơi đổi mới thực sự xuất hiện.</w:t>
      </w:r>
    </w:p>
    <w:p w14:paraId="65F47FC6" w14:textId="037DDFEB"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Carlgren, Rauth và Elmquist (2016) cho thấy rằng các tổ chức áp dụng Design Thinking như một thực hành tổ chức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chỉ như một công cụ dự án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đạt được tốc độ thử </w:t>
      </w:r>
      <w:r w:rsidRPr="005E154F">
        <w:rPr>
          <w:rFonts w:ascii="Times New Roman" w:hAnsi="Times New Roman" w:cs="Times New Roman"/>
          <w:sz w:val="26"/>
          <w:szCs w:val="26"/>
        </w:rPr>
        <w:lastRenderedPageBreak/>
        <w:t>nghiệm và khả năng xoay trục (pivoting) cao hơn đáng kể. Điều này đặc biệt có ý nghĩa đối với SMEs, nơi tốc độ phản ứng với thị trường quan trọng hơn quy mô đầu tư.</w:t>
      </w:r>
    </w:p>
    <w:p w14:paraId="6FD6C996"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5" w:name="dữ-liệu-như-tài-sản-tri-thức-chiến-lược"/>
      <w:bookmarkEnd w:id="14"/>
      <w:r w:rsidRPr="005E154F">
        <w:rPr>
          <w:rFonts w:ascii="Times New Roman" w:hAnsi="Times New Roman" w:cs="Times New Roman"/>
          <w:b/>
          <w:bCs/>
          <w:color w:val="auto"/>
          <w:sz w:val="26"/>
          <w:szCs w:val="26"/>
        </w:rPr>
        <w:t>3.4 Dữ Liệu như Tài Sản Tri Thức Chiến Lược</w:t>
      </w:r>
    </w:p>
    <w:p w14:paraId="1E006699" w14:textId="2336019D"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McAfee và Brynjolfsson (2012) đã phân tích rõ rằng lợi thế cạnh tranh của dữ liệu không nằm ở khối lượng mà ở văn hóa ra quyết định dựa trên bằng chứng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khi dữ liệu thực sự thay thế trực giác và kinh nghiệm như nguồn gốc của định hướng chiến lược. Rialti và cộng sự (2019) tiếp tục chỉ ra rằng năng lực phân tích dữ liệu (data analytics capability) ảnh hưởng tích cực đến sự linh hoạt chiến lược (strategic agility) của doanh nghiệp, đặc biệt trong điều kiện thị trường bất định cao.</w:t>
      </w:r>
    </w:p>
    <w:p w14:paraId="106CACAA" w14:textId="513BEBFF"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Đối với SMEs, đây là một nghịch lý tích cực: họ không cần “big data” mà cần “right data”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dữ liệu hành vi thực từ tập khách hàng hiện hữu của mình. Günther và cộng sự (2017) gọi đây là “small data advantage”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lợi thế của việc hiểu sâu một tập khách hàng nhỏ thay vì hiểu nông một tập khách hàng khổng lồ.</w:t>
      </w:r>
    </w:p>
    <w:p w14:paraId="3428A843"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6" w:name="nền-tảng-số-như-cơ-sở-hạ-tầng-tạo-sinh"/>
      <w:bookmarkEnd w:id="15"/>
      <w:r w:rsidRPr="005E154F">
        <w:rPr>
          <w:rFonts w:ascii="Times New Roman" w:hAnsi="Times New Roman" w:cs="Times New Roman"/>
          <w:b/>
          <w:bCs/>
          <w:color w:val="auto"/>
          <w:sz w:val="26"/>
          <w:szCs w:val="26"/>
        </w:rPr>
        <w:t>3.5 Nền Tảng Số như Cơ Sở Hạ Tầng Tạo Sinh</w:t>
      </w:r>
    </w:p>
    <w:p w14:paraId="16CBD627"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Parker, Van Alstyne và Choudary (2016) định nghĩa nền tảng số là một mô hình kinh doanh tạo ra giá trị bằng cách kết nối các bên tham gia và cho phép tương tác có giá trị giữa họ. Tiwana (2014) phân tích sâu hơn rằng điều tạo nên sức mạnh của nền tảng không phải là bản thân nền tảng mà là hệ sinh thái đổi mới được xây dựng xung quanh nó.</w:t>
      </w:r>
    </w:p>
    <w:p w14:paraId="24E35868" w14:textId="2C5CDE8D"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Trong bối cảnh SMEs, sự bùng nổ của SaaS (Software as a Service), low-code/no-code platforms và hệ sinh thái API mở đã hạ thấp đáng kể rào cản gia nhập. Một SMEs không cần phát triển hạ tầng số từ đầu; họ có thể kết hợp và tích hợp các viên gạch nền tảng có sẵn để tạo ra cấu hình giá trị độc đáo. Đây chính là biểu hiện của Generativity trong thực tiễn SME: giá trị xuất hiện từ sự kết hợp, không phải từ sự sở hữu.</w:t>
      </w:r>
    </w:p>
    <w:p w14:paraId="20F2ACE3" w14:textId="7A63EC0C" w:rsidR="00331D60" w:rsidRPr="005E154F"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17" w:name="ba-trụ-cột-và-cơ-chế-giao-thoa"/>
      <w:bookmarkEnd w:id="11"/>
      <w:bookmarkEnd w:id="16"/>
      <w:r w:rsidRPr="005E154F">
        <w:rPr>
          <w:rFonts w:ascii="Times New Roman" w:hAnsi="Times New Roman" w:cs="Times New Roman"/>
          <w:b/>
          <w:bCs/>
          <w:color w:val="auto"/>
          <w:sz w:val="26"/>
          <w:szCs w:val="26"/>
          <w:lang w:val="vi-VN"/>
        </w:rPr>
        <w:t>IV</w:t>
      </w:r>
      <w:r w:rsidRPr="005E154F">
        <w:rPr>
          <w:rFonts w:ascii="Times New Roman" w:hAnsi="Times New Roman" w:cs="Times New Roman"/>
          <w:b/>
          <w:bCs/>
          <w:color w:val="auto"/>
          <w:sz w:val="26"/>
          <w:szCs w:val="26"/>
        </w:rPr>
        <w:t>. BA TRỤ CỘT VÀ CƠ CHẾ GIAO THOA</w:t>
      </w:r>
    </w:p>
    <w:p w14:paraId="18DF4BC5"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8" w:name="vai-trò-của-từng-trụ-cột"/>
      <w:r w:rsidRPr="005E154F">
        <w:rPr>
          <w:rFonts w:ascii="Times New Roman" w:hAnsi="Times New Roman" w:cs="Times New Roman"/>
          <w:b/>
          <w:bCs/>
          <w:color w:val="auto"/>
          <w:sz w:val="26"/>
          <w:szCs w:val="26"/>
        </w:rPr>
        <w:t>4.1 Vai Trò Của Từng Trụ Cột</w:t>
      </w:r>
    </w:p>
    <w:p w14:paraId="496A8D19" w14:textId="6C9615F8" w:rsidR="00331D60" w:rsidRPr="00AA703D" w:rsidRDefault="00EF05C5" w:rsidP="005E154F">
      <w:pPr>
        <w:pStyle w:val="FirstParagraph"/>
        <w:spacing w:before="120" w:after="120" w:line="276" w:lineRule="auto"/>
        <w:jc w:val="both"/>
        <w:rPr>
          <w:rFonts w:ascii="Times New Roman" w:hAnsi="Times New Roman" w:cs="Times New Roman"/>
          <w:i/>
          <w:iCs/>
          <w:sz w:val="26"/>
          <w:szCs w:val="26"/>
        </w:rPr>
      </w:pPr>
      <w:r w:rsidRPr="00AA703D">
        <w:rPr>
          <w:rFonts w:ascii="Times New Roman" w:hAnsi="Times New Roman" w:cs="Times New Roman"/>
          <w:i/>
          <w:iCs/>
          <w:sz w:val="26"/>
          <w:szCs w:val="26"/>
        </w:rPr>
        <w:t xml:space="preserve">Trụ cột 1 </w:t>
      </w:r>
      <w:r w:rsidR="00AA703D" w:rsidRPr="00AA703D">
        <w:rPr>
          <w:rFonts w:ascii="Times New Roman" w:hAnsi="Times New Roman" w:cs="Times New Roman"/>
          <w:i/>
          <w:iCs/>
          <w:sz w:val="26"/>
          <w:szCs w:val="26"/>
        </w:rPr>
        <w:t>-</w:t>
      </w:r>
      <w:r w:rsidRPr="00AA703D">
        <w:rPr>
          <w:rFonts w:ascii="Times New Roman" w:hAnsi="Times New Roman" w:cs="Times New Roman"/>
          <w:i/>
          <w:iCs/>
          <w:sz w:val="26"/>
          <w:szCs w:val="26"/>
        </w:rPr>
        <w:t xml:space="preserve"> Tư duy Thiết kế (DT): Năng lực Nhận thức</w:t>
      </w:r>
    </w:p>
    <w:p w14:paraId="17B3CB55" w14:textId="2946BDC4"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DT đóng vai trò của lớp nhận thức trong hệ thống DIC. Theo Kouprie và Visser (2009), thấu cảm trong thiết kế không phải là cảm xúc tự nhiên mà là quy trình có cấu trúc bao gồm bốn bước: khám phá , </w:t>
      </w:r>
      <w:r w:rsidR="00D97525">
        <w:rPr>
          <w:rFonts w:ascii="Times New Roman" w:hAnsi="Times New Roman" w:cs="Times New Roman"/>
          <w:sz w:val="26"/>
          <w:szCs w:val="26"/>
          <w:lang w:val="en-US"/>
        </w:rPr>
        <w:t xml:space="preserve">hòa nhập, </w:t>
      </w:r>
      <w:r w:rsidRPr="005E154F">
        <w:rPr>
          <w:rFonts w:ascii="Times New Roman" w:hAnsi="Times New Roman" w:cs="Times New Roman"/>
          <w:sz w:val="26"/>
          <w:szCs w:val="26"/>
        </w:rPr>
        <w:t xml:space="preserve">kết nối và tách ra để xử lý. Khi DT được vận hành như một năng lực tổ chức, nó giúp SMEs đặt đúng câu hỏi: </w:t>
      </w:r>
      <w:r w:rsidRPr="005E154F">
        <w:rPr>
          <w:rFonts w:ascii="Times New Roman" w:hAnsi="Times New Roman" w:cs="Times New Roman"/>
          <w:i/>
          <w:iCs/>
          <w:sz w:val="26"/>
          <w:szCs w:val="26"/>
        </w:rPr>
        <w:t>không phải “chúng ta có thể làm gì với công nghệ này?” mà là “khách hàng đang gặp khó chịu thực sự ở đâu, và giải pháp nào sẽ khiến họ cảm thấy được hiểu?”</w:t>
      </w:r>
    </w:p>
    <w:p w14:paraId="678C27C9" w14:textId="28219415"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lastRenderedPageBreak/>
        <w:t xml:space="preserve">Đây là điều tạo ra Desirability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tiêu chí đầu tiên trong bộ ba của Brown (2008). Không có DT, doanh nghiệp có thể đầu tư nguồn lực vào việc xây dựng những giải pháp kỹ thuật hoàn hảo mà không ai muốn dùng.</w:t>
      </w:r>
    </w:p>
    <w:p w14:paraId="06DF34CC" w14:textId="02FD42BC" w:rsidR="00331D60" w:rsidRPr="00AA703D" w:rsidRDefault="00EF05C5" w:rsidP="005E154F">
      <w:pPr>
        <w:pStyle w:val="BodyText"/>
        <w:spacing w:before="120" w:after="120" w:line="276" w:lineRule="auto"/>
        <w:jc w:val="both"/>
        <w:rPr>
          <w:rFonts w:ascii="Times New Roman" w:hAnsi="Times New Roman" w:cs="Times New Roman"/>
          <w:i/>
          <w:iCs/>
          <w:sz w:val="26"/>
          <w:szCs w:val="26"/>
        </w:rPr>
      </w:pPr>
      <w:r w:rsidRPr="00AA703D">
        <w:rPr>
          <w:rFonts w:ascii="Times New Roman" w:hAnsi="Times New Roman" w:cs="Times New Roman"/>
          <w:i/>
          <w:iCs/>
          <w:sz w:val="26"/>
          <w:szCs w:val="26"/>
        </w:rPr>
        <w:t xml:space="preserve">Trụ cột 2 </w:t>
      </w:r>
      <w:r w:rsidR="00AA703D" w:rsidRPr="00AA703D">
        <w:rPr>
          <w:rFonts w:ascii="Times New Roman" w:hAnsi="Times New Roman" w:cs="Times New Roman"/>
          <w:i/>
          <w:iCs/>
          <w:sz w:val="26"/>
          <w:szCs w:val="26"/>
        </w:rPr>
        <w:t>-</w:t>
      </w:r>
      <w:r w:rsidRPr="00AA703D">
        <w:rPr>
          <w:rFonts w:ascii="Times New Roman" w:hAnsi="Times New Roman" w:cs="Times New Roman"/>
          <w:i/>
          <w:iCs/>
          <w:sz w:val="26"/>
          <w:szCs w:val="26"/>
        </w:rPr>
        <w:t xml:space="preserve"> Dữ liệu Khách hàng (CD): Năng lực Tri thức</w:t>
      </w:r>
    </w:p>
    <w:p w14:paraId="3BF9235E" w14:textId="19F57B03"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CD đóng vai trò lớp tri thức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chuyển đổi quan sát thành bằng chứng, bằng chứng thành hiểu biết, và hiểu biết thành định hướng hành động. Theo McAfee và Brynjolfsson (2012), dữ liệu chỉ tạo ra giá trị khi nó thay đổi hành vi ra quyết định; nếu không, nó chỉ là chi phí lưu trữ.</w:t>
      </w:r>
    </w:p>
    <w:p w14:paraId="5FCE9BE5" w14:textId="178F1955"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Đối với SMEs, CD tạo ra Viability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khả năng xác nhận rằng một định hướng chiến lược có căn cứ thực tế từ hành vi khách hàng, không phải từ giả định của ban quản lý. Mỗi điểm tiếp xúc số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đơn hàng, lượt xem, hành vi giỏ hàng, thời gian trên trang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là một mảnh dữ liệu hành vi có thể giải mã để hiểu nhu cầu thực sự của khách hàng.</w:t>
      </w:r>
    </w:p>
    <w:p w14:paraId="143F9CBA" w14:textId="074334AA" w:rsidR="00331D60" w:rsidRPr="00AA703D" w:rsidRDefault="00EF05C5" w:rsidP="005E154F">
      <w:pPr>
        <w:pStyle w:val="BodyText"/>
        <w:spacing w:before="120" w:after="120" w:line="276" w:lineRule="auto"/>
        <w:jc w:val="both"/>
        <w:rPr>
          <w:rFonts w:ascii="Times New Roman" w:hAnsi="Times New Roman" w:cs="Times New Roman"/>
          <w:i/>
          <w:iCs/>
          <w:sz w:val="26"/>
          <w:szCs w:val="26"/>
        </w:rPr>
      </w:pPr>
      <w:r w:rsidRPr="00AA703D">
        <w:rPr>
          <w:rFonts w:ascii="Times New Roman" w:hAnsi="Times New Roman" w:cs="Times New Roman"/>
          <w:i/>
          <w:iCs/>
          <w:sz w:val="26"/>
          <w:szCs w:val="26"/>
        </w:rPr>
        <w:t xml:space="preserve">Trụ cột 3 </w:t>
      </w:r>
      <w:r w:rsidR="00AA703D" w:rsidRPr="00AA703D">
        <w:rPr>
          <w:rFonts w:ascii="Times New Roman" w:hAnsi="Times New Roman" w:cs="Times New Roman"/>
          <w:i/>
          <w:iCs/>
          <w:sz w:val="26"/>
          <w:szCs w:val="26"/>
        </w:rPr>
        <w:t>-</w:t>
      </w:r>
      <w:r w:rsidRPr="00AA703D">
        <w:rPr>
          <w:rFonts w:ascii="Times New Roman" w:hAnsi="Times New Roman" w:cs="Times New Roman"/>
          <w:i/>
          <w:iCs/>
          <w:sz w:val="26"/>
          <w:szCs w:val="26"/>
        </w:rPr>
        <w:t xml:space="preserve"> Nền Tảng Số (DP): Năng lực Thực thi</w:t>
      </w:r>
    </w:p>
    <w:p w14:paraId="676C3AB3" w14:textId="7E49BDE6"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DP đóng vai trò lớp thực thi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cơ sở hạ tầng kỹ thuật cho phép ý tưởng đi từ giả thuyết đến nguyên mẫu, từ nguyên mẫu đến sản phẩm, với chi phí biên tối thiểu và vòng lặp phản hồi tối đa. Tiwana (2014) nhấn mạnh rằng kiến trúc nền tảng module hóa (modular architecture) là điều kiện tiên quyết để tái kết hợp nhanh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khả năng “lắp ghép lại” các thành phần theo cấu hình mới khi thị trường thay đổi.</w:t>
      </w:r>
    </w:p>
    <w:p w14:paraId="3E14C888" w14:textId="205E5CCC"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DP tạo ra Feasibility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phải theo nghĩa kỹ thuật đơn thuần, mà theo nghĩa kinh tế: khả năng thử nghiệm một ý tưởng mới với chi phí đủ thấp để SMEs dám thực hiện, đủ nhanh để không mất cơ hội thị trường.</w:t>
      </w:r>
    </w:p>
    <w:p w14:paraId="3425AB13"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19" w:name="cơ-chế-tại-ba-vùng-giao-thoa"/>
      <w:bookmarkEnd w:id="18"/>
      <w:r w:rsidRPr="005E154F">
        <w:rPr>
          <w:rFonts w:ascii="Times New Roman" w:hAnsi="Times New Roman" w:cs="Times New Roman"/>
          <w:b/>
          <w:bCs/>
          <w:color w:val="auto"/>
          <w:sz w:val="26"/>
          <w:szCs w:val="26"/>
        </w:rPr>
        <w:t>4.2 Cơ Chế Tại Ba Vùng Giao Thoa</w:t>
      </w:r>
    </w:p>
    <w:p w14:paraId="2420D018" w14:textId="217432A1"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Điểm then chốt của khung này là sức mạnh không nằm ở từng trụ cột đơn lẻ mà ở vùng giao thoa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nơi hai trụ cột gặp nhau và tạo ra một năng lực mới không thể suy ra từ từng trụ cột riêng lẻ.</w:t>
      </w:r>
    </w:p>
    <w:p w14:paraId="19DBFA8B" w14:textId="77777777" w:rsidR="00331D60" w:rsidRPr="005E154F" w:rsidRDefault="00EF05C5" w:rsidP="005E154F">
      <w:pPr>
        <w:pStyle w:val="Heading4"/>
        <w:spacing w:before="120" w:after="120" w:line="276" w:lineRule="auto"/>
        <w:jc w:val="both"/>
        <w:rPr>
          <w:rFonts w:ascii="Times New Roman" w:hAnsi="Times New Roman" w:cs="Times New Roman"/>
          <w:color w:val="auto"/>
          <w:sz w:val="26"/>
          <w:szCs w:val="26"/>
        </w:rPr>
      </w:pPr>
      <w:bookmarkStart w:id="20" w:name="Xc4b50ae5bd5d40f8f2a8e064cf18d2175b118c7"/>
      <w:r w:rsidRPr="005E154F">
        <w:rPr>
          <w:rFonts w:ascii="Times New Roman" w:hAnsi="Times New Roman" w:cs="Times New Roman"/>
          <w:color w:val="auto"/>
          <w:sz w:val="26"/>
          <w:szCs w:val="26"/>
        </w:rPr>
        <w:t>Giao Thoa 1: DT × CD → Thấu Cảm Dựa Trên Bằng Chứng (Evidence-based Empathy)</w:t>
      </w:r>
    </w:p>
    <w:p w14:paraId="27276776"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Câu hỏi cốt lõi: </w:t>
      </w:r>
      <w:r w:rsidRPr="005E154F">
        <w:rPr>
          <w:rFonts w:ascii="Times New Roman" w:hAnsi="Times New Roman" w:cs="Times New Roman"/>
          <w:i/>
          <w:iCs/>
          <w:sz w:val="26"/>
          <w:szCs w:val="26"/>
        </w:rPr>
        <w:t>Tại sao DT kết hợp CD tạo ra thứ gì đó khác biệt, chứ không chỉ là “có thêm dữ liệu”?</w:t>
      </w:r>
    </w:p>
    <w:p w14:paraId="2DB8DFDA" w14:textId="147A7DFF"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Cơ chế nhân quả: Tư duy thiết kế cung cấp ngôn ngữ và khung để đặt câu hỏi đúng cho dữ liệu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phải “khách hàng đã làm gì?” mà là “tại sao họ làm điều đó, và điều đó tiết lộ gì về nỗi đau sâu hơn của họ?” Ngược lại, dữ liệu hành vi cung cấp căn cứ thực tế để kiểm chứng và hiệu chỉnh các giả định thấu cảm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ngăn chặn tình trạng “lãng mạn hóa nhu cầu” mà thiết kế thuần túy hay mắc phải.</w:t>
      </w:r>
    </w:p>
    <w:p w14:paraId="28707AB3" w14:textId="77777777"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lastRenderedPageBreak/>
        <w:t>Kết quả không phải là thiết kế tốt hơn cộng với nhiều dữ liệu hơn. Kết quả là một vòng lặp học hỏi khép kín: quan sát thiết kế → giả thuyết về nhu cầu → kiểm chứng bằng dữ liệu → hiệu chỉnh giả thuyết → thiết kế lại. Vòng lặp này không thể tự hình thành từ chỉ một trong hai trụ cột.</w:t>
      </w:r>
    </w:p>
    <w:p w14:paraId="7E1FE9F5" w14:textId="604866DF"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Kouprie và Visser (2009) gọi giai đoạn “detachment” trong thấu cảm thiết kế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bước nhà thiết kế tạo ra khoảng cách để xử lý và giải mã những gì họ đã quan sát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là bước quan trọng nhất để chuyển đổi dữ liệu cảm tính thành insight hành động. Khi bước này được hỗ trợ bởi dữ liệu định lượng, insight đạt được độ chính xác vượt trội so với quan sát định tính thuần túy.</w:t>
      </w:r>
    </w:p>
    <w:p w14:paraId="295F6067" w14:textId="76468161"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Hậu quả khi thiếu một trong hai: Nếu chỉ có DT mà không có CD, thiết kế dựa trên giả định và trực giác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rủi ro cao và tốn kém khi sai. Nếu chỉ có CD mà không có DT, doanh nghiệp chìm trong “biển dữ liệu” mà không có la bàn giải mã ý nghĩa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một nghịch lý mà Davenport và Patil (2012) mô tả là “data rich, insight poor.”</w:t>
      </w:r>
    </w:p>
    <w:p w14:paraId="2CBC1D3D" w14:textId="77777777" w:rsidR="00331D60" w:rsidRPr="005E154F" w:rsidRDefault="00EF05C5" w:rsidP="005E154F">
      <w:pPr>
        <w:pStyle w:val="Heading4"/>
        <w:spacing w:before="120" w:after="120" w:line="276" w:lineRule="auto"/>
        <w:jc w:val="both"/>
        <w:rPr>
          <w:rFonts w:ascii="Times New Roman" w:hAnsi="Times New Roman" w:cs="Times New Roman"/>
          <w:color w:val="auto"/>
          <w:sz w:val="26"/>
          <w:szCs w:val="26"/>
        </w:rPr>
      </w:pPr>
      <w:bookmarkStart w:id="21" w:name="X60582eb59f838760c1c9f43cb4dc1a21ef81a23"/>
      <w:bookmarkEnd w:id="20"/>
      <w:r w:rsidRPr="005E154F">
        <w:rPr>
          <w:rFonts w:ascii="Times New Roman" w:hAnsi="Times New Roman" w:cs="Times New Roman"/>
          <w:color w:val="auto"/>
          <w:sz w:val="26"/>
          <w:szCs w:val="26"/>
        </w:rPr>
        <w:t>Giao Thoa 2: CD × DP → Thực Thi Dẫn Dắt Bởi Phân Tích (Analytic-driven Orchestration)</w:t>
      </w:r>
    </w:p>
    <w:p w14:paraId="47BA65E1"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Câu hỏi cốt lõi: </w:t>
      </w:r>
      <w:r w:rsidRPr="005E154F">
        <w:rPr>
          <w:rFonts w:ascii="Times New Roman" w:hAnsi="Times New Roman" w:cs="Times New Roman"/>
          <w:i/>
          <w:iCs/>
          <w:sz w:val="26"/>
          <w:szCs w:val="26"/>
        </w:rPr>
        <w:t>Tại sao CD kết hợp DP tạo ra năng lực “tự học” hơn là chỉ là “tự động hóa”?</w:t>
      </w:r>
    </w:p>
    <w:p w14:paraId="54E355D5" w14:textId="2FF0BE22"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Cơ chế nhân quả: Nền tảng số không chỉ là nơi lưu trữ và hiển thị dữ liệu; khi được kiến trúc đúng, nó là cơ sở hạ tầng tạo ra dữ liệu mới từ chính các tương tác của nó. Một SME bán hàng qua nền tảng e-commerce không chỉ thu thập đơn hàng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họ thu thập hành trình mua hàng: thứ tự sản phẩm được xem, thời gian dừng trên từng mô tả, tỷ lệ bỏ giỏ hàng. Khi dữ liệu này được phân tích và phản hồi trở lại vào cấu hình nền tảng (giao diện, đề xuất, luồng thanh toán), hệ thống bắt đầu tự tinh chỉnh dựa trên hành vi thực của người dùng.</w:t>
      </w:r>
    </w:p>
    <w:p w14:paraId="3060B834" w14:textId="39DC437C"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Đây là bước chuyển từ nền tảng như công cụ tĩnh (static tool) sang nền tảng như hệ thống học hỏi động (dynamic learning system)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một đặc tính mà Yoo et al. (2010) gọi là “digital generativity”: khả năng hệ thống tạo ra kết quả chưa được lập trình trước từ sự tương tác với người dùng thực.</w:t>
      </w:r>
    </w:p>
    <w:p w14:paraId="098764FB" w14:textId="46F6F9F9"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Hậu quả khi thiếu một trong hai: Nếu chỉ có CD mà không có DP, dữ liệu bị cô lập trong các “silo” phòng ban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thể kết nối, không thể khai thác tự động, không tạo ra phản hồi thời gian thực. Nếu chỉ có DP mà không có CD, nền tảng vận hành mù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tối ưu hóa theo các chỉ số kỹ thuật mà không có tín hiệu từ hành vi người dùng thực tế.</w:t>
      </w:r>
    </w:p>
    <w:p w14:paraId="019F6B5D" w14:textId="77777777" w:rsidR="00331D60" w:rsidRPr="005E154F" w:rsidRDefault="00EF05C5" w:rsidP="005E154F">
      <w:pPr>
        <w:pStyle w:val="Heading4"/>
        <w:spacing w:before="120" w:after="120" w:line="276" w:lineRule="auto"/>
        <w:jc w:val="both"/>
        <w:rPr>
          <w:rFonts w:ascii="Times New Roman" w:hAnsi="Times New Roman" w:cs="Times New Roman"/>
          <w:color w:val="auto"/>
          <w:sz w:val="26"/>
          <w:szCs w:val="26"/>
        </w:rPr>
      </w:pPr>
      <w:bookmarkStart w:id="22" w:name="Xe4e772ae8c1c27794b9c1fda11c5d62d6e3977a"/>
      <w:bookmarkEnd w:id="21"/>
      <w:r w:rsidRPr="005E154F">
        <w:rPr>
          <w:rFonts w:ascii="Times New Roman" w:hAnsi="Times New Roman" w:cs="Times New Roman"/>
          <w:color w:val="auto"/>
          <w:sz w:val="26"/>
          <w:szCs w:val="26"/>
        </w:rPr>
        <w:lastRenderedPageBreak/>
        <w:t>Giao Thoa 3: DP × DT → Tạo Mẫu Linh Hoạt và Liên Tục (Scalable Prototyping)</w:t>
      </w:r>
    </w:p>
    <w:p w14:paraId="5BE672F9"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Câu hỏi cốt lõi: </w:t>
      </w:r>
      <w:r w:rsidRPr="005E154F">
        <w:rPr>
          <w:rFonts w:ascii="Times New Roman" w:hAnsi="Times New Roman" w:cs="Times New Roman"/>
          <w:i/>
          <w:iCs/>
          <w:sz w:val="26"/>
          <w:szCs w:val="26"/>
        </w:rPr>
        <w:t>Tại sao DP kết hợp DT không chỉ làm nhanh hơn mà còn thay đổi bản chất của quá trình thử nghiệm?</w:t>
      </w:r>
    </w:p>
    <w:p w14:paraId="32D5B065" w14:textId="4545E185"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Cơ chế nhân quả: Tư duy thiết kế đặt ra nguyên tắc “prototype early, fail fast”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nhưng nếu không có nền tảng số phù hợp, nguyên tắc này va chạm với thực tế khắc nghiệt của SMEs: phát triển phần mềm tốn kém, thời gian dài và rủi ro cao. Nền tảng low-code/no-code và kiến trúc API mở thay đổi phương trình này: chi phí biên của một lần thử nghiệm sai giảm xuống mức không đáng kể so với tổng đầu tư.</w:t>
      </w:r>
    </w:p>
    <w:p w14:paraId="4ADCF43F" w14:textId="29413DE6"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Khi chi phí thất bại giảm xuống đủ thấp, bản thân khái niệm “thất bại” thay đổi ý nghĩa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nó không còn là thảm họa cần tránh mà là dữ liệu cần thu thập. Ries (2011) gọi đây là “validated learning”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mỗi prototype không phải là sản phẩm cần hoàn hảo mà là giả thuyết cần được kiểm chứng. Đây là sự thay đổi bản thể luận về quản lý đổi mới, không chỉ là thay đổi tốc độ.</w:t>
      </w:r>
    </w:p>
    <w:p w14:paraId="199301C3" w14:textId="115254DA"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Hậu quả khi thiếu một trong hai: Nếu chỉ có DP mà không có DT, nền tảng bị sử dụng để tự động hóa các quy trình hiện tại thay vì khám phá cấu hình giá trị mới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một bẫy phổ biến mà Westerman và cộng sự (2014) gọi là “digitizing the wrong things.” Nếu chỉ có DT mà không có DP, ý tưởng tốt mãi mãi nằm trên giấy vì không có hạ tầng để hiện thực hóa với chi phí phù hợp quy mô SME.</w:t>
      </w:r>
    </w:p>
    <w:p w14:paraId="0D145F25"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23" w:name="X945247b7c4b466a0fd724aa2aa965028ad3d1d1"/>
      <w:bookmarkEnd w:id="19"/>
      <w:bookmarkEnd w:id="22"/>
      <w:r w:rsidRPr="005E154F">
        <w:rPr>
          <w:rFonts w:ascii="Times New Roman" w:hAnsi="Times New Roman" w:cs="Times New Roman"/>
          <w:b/>
          <w:bCs/>
          <w:color w:val="auto"/>
          <w:sz w:val="26"/>
          <w:szCs w:val="26"/>
        </w:rPr>
        <w:t>4.3 Vùng Trung Tâm: Năng Lực Sinh Tạo (Generative Capacity)</w:t>
      </w:r>
    </w:p>
    <w:p w14:paraId="6192C8BC" w14:textId="445A70DD"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Khi cả ba vùng giao thoa được kích hoạt đồng thời, hệ thống đạt đến trạng thái mà bài viết này gọi là Năng lực Sinh tạo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một thuộc tính cấp độ tổ chức không thể suy ra từ bất kỳ trụ cột hay giao thoa nào đơn lẻ.</w:t>
      </w:r>
    </w:p>
    <w:p w14:paraId="572BBA46" w14:textId="4CC82AFD"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Thuật ngữ “trỗi dậy” (emergence) được dùng theo nghĩa kỹ thuật của Stacey (2003): trong các hệ thống phức tạp thích ứng, thuộc tính trỗi dậy là những đặc tính xuất hiện ở cấp độ hệ thống mà không tồn tại ở cấp độ từng thành phần. Trong trường hợp DIC: khả năng liên tục tự tạo ra cấu hình giá trị mới mà chưa từng được lập trình trước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đây là thuộc tính của toàn hệ thống, không phải của DT, CD hay DP riêng lẻ.</w:t>
      </w:r>
    </w:p>
    <w:p w14:paraId="4395F170" w14:textId="77777777"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Đây chính là điểm phân kỳ then chốt giữa khung này và tư duy tuyến tính: tư duy tuyến tính tìm kiếm tác động (impact), trong khi khung này hướng đến thuộc tính trỗi dậy (emergence). Đây không phải sự khác biệt về mức độ mà là sự khác biệt về bản chất.</w:t>
      </w:r>
    </w:p>
    <w:p w14:paraId="6B36BB21" w14:textId="75A6AE5E" w:rsidR="00331D60" w:rsidRPr="005E154F"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24" w:name="Xe8979e414837e116385814d2c2e56ebb90e0772"/>
      <w:bookmarkEnd w:id="17"/>
      <w:bookmarkEnd w:id="23"/>
      <w:r w:rsidRPr="005E154F">
        <w:rPr>
          <w:rFonts w:ascii="Times New Roman" w:hAnsi="Times New Roman" w:cs="Times New Roman"/>
          <w:b/>
          <w:bCs/>
          <w:color w:val="auto"/>
          <w:sz w:val="26"/>
          <w:szCs w:val="26"/>
          <w:lang w:val="vi-VN"/>
        </w:rPr>
        <w:t>V</w:t>
      </w:r>
      <w:r w:rsidRPr="005E154F">
        <w:rPr>
          <w:rFonts w:ascii="Times New Roman" w:hAnsi="Times New Roman" w:cs="Times New Roman"/>
          <w:b/>
          <w:bCs/>
          <w:color w:val="auto"/>
          <w:sz w:val="26"/>
          <w:szCs w:val="26"/>
        </w:rPr>
        <w:t>. ĐẶT TRONG ĐỐI THOẠI VỚI CÁC KHUNG TƯƠNG ĐƯƠNG</w:t>
      </w:r>
    </w:p>
    <w:p w14:paraId="2DB5D80D"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Để xác định rõ đóng góp khái niệm của khung này, cần đặt nó cạnh các mô hình lý thuyết tương đương và chỉ ra điểm hội tụ cũng như điểm phân kỳ.</w:t>
      </w:r>
    </w:p>
    <w:p w14:paraId="342E3654"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25" w:name="X37cd44c7dc09b8d9de8685773f7589f202f1efb"/>
      <w:r w:rsidRPr="005E154F">
        <w:rPr>
          <w:rFonts w:ascii="Times New Roman" w:hAnsi="Times New Roman" w:cs="Times New Roman"/>
          <w:b/>
          <w:bCs/>
          <w:color w:val="auto"/>
          <w:sz w:val="26"/>
          <w:szCs w:val="26"/>
        </w:rPr>
        <w:lastRenderedPageBreak/>
        <w:t>5.1 So Sánh Với Khung Sensing–Seizing–Transforming (Teece, 2007)</w:t>
      </w:r>
    </w:p>
    <w:p w14:paraId="6BE6F28E" w14:textId="75239ABE"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Khung DCT của Teece (2007) là nền tảng lý thuyết gần nhất. Sự tương đồng: cả hai đều nhìn năng lực cạnh tranh như một tập hợp năng lực động, không phải tài sản tĩnh. Điểm phân kỳ: DCT mô tả ba </w:t>
      </w:r>
      <w:r w:rsidRPr="005E154F">
        <w:rPr>
          <w:rFonts w:ascii="Times New Roman" w:hAnsi="Times New Roman" w:cs="Times New Roman"/>
          <w:i/>
          <w:iCs/>
          <w:sz w:val="26"/>
          <w:szCs w:val="26"/>
        </w:rPr>
        <w:t>chiều năng lực</w:t>
      </w:r>
      <w:r w:rsidRPr="005E154F">
        <w:rPr>
          <w:rFonts w:ascii="Times New Roman" w:hAnsi="Times New Roman" w:cs="Times New Roman"/>
          <w:sz w:val="26"/>
          <w:szCs w:val="26"/>
        </w:rPr>
        <w:t xml:space="preserve"> tuần tự (sensing → seizing → transforming) và không giải thích cơ chế mà chúng tương tác tạo ra thuộc tính trỗi dậy. Khung của bài viết này bổ sung một chiều thứ tư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Generating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và lý giải rằng chiều này không phải là kết quả của ba chiều cộng lại mà là kết quả của sự tương tác phi tuyến tính giữa chúng.</w:t>
      </w:r>
    </w:p>
    <w:p w14:paraId="15F41AB7"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26" w:name="Xcd464148450bf8df07d9938a549942e1b74bdc1"/>
      <w:bookmarkEnd w:id="25"/>
      <w:r w:rsidRPr="005E154F">
        <w:rPr>
          <w:rFonts w:ascii="Times New Roman" w:hAnsi="Times New Roman" w:cs="Times New Roman"/>
          <w:b/>
          <w:bCs/>
          <w:color w:val="auto"/>
          <w:sz w:val="26"/>
          <w:szCs w:val="26"/>
        </w:rPr>
        <w:t>5.2 So Sánh Với Khung DIC 4 Chiều (Nwankpa &amp; Roumani, 2016)</w:t>
      </w:r>
    </w:p>
    <w:p w14:paraId="50B18BF6" w14:textId="48F61F7D"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Nwankpa và Roumani (2016) đề xuất DIC gồm bốn chiều: Sensing, Analytic-driven, Digital Platform và Orchestration. Sự tương đồng rõ ràng: Analytic-driven ≈ CD và Digital Platform ≈ DP trong khung này. Điểm phân kỳ quan trọng: Nwankpa và Roumani xem bốn chiều là các thành phần độc lập cấu thành DIC theo kiểu cộng gộp (additive). Khung của bài viết này lập luận rằng mô hình cộng gộp bỏ qua hiệu ứng tương tác (interaction effects)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một thành phần không được đo lường độc lập mà chỉ xuất hiện khi đo lường sự kết hợp. Đây là sự khác biệt về mặt toán học: Y = X₁ + X₂ + X₃ khác với Y = f(X₁, X₂, X₃, X₁×X₂, X₂×X₃, X₁×X₃, X₁×X₂×X₃).</w:t>
      </w:r>
    </w:p>
    <w:p w14:paraId="46534006" w14:textId="77777777" w:rsidR="00331D60" w:rsidRPr="005E154F"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27" w:name="X9aa3ab4af188ea7f9d4f9c615d8662fd202540f"/>
      <w:bookmarkEnd w:id="26"/>
      <w:r w:rsidRPr="005E154F">
        <w:rPr>
          <w:rFonts w:ascii="Times New Roman" w:hAnsi="Times New Roman" w:cs="Times New Roman"/>
          <w:b/>
          <w:bCs/>
          <w:color w:val="auto"/>
          <w:sz w:val="26"/>
          <w:szCs w:val="26"/>
        </w:rPr>
        <w:t>5.3 So Sánh Với Mô Hình Đổi Mới Xuyên Biên Giới (Nambisan et al., 2017)</w:t>
      </w:r>
    </w:p>
    <w:p w14:paraId="02CBEFFD" w14:textId="6A1C4DDD"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Nambisan và cộng sự (2017) đề xuất khái niệm “digital innovation management” với đặc điểm: ranh giới giữa artifact đổi mới, quá trình đổi mới và kết quả đổi mới trở nên mờ nhạt trong môi trường số. Khung của bài viết này có quan điểm nhất quán với điều này </w:t>
      </w:r>
      <w:r w:rsidR="009D3E88">
        <w:rPr>
          <w:rFonts w:ascii="Times New Roman" w:hAnsi="Times New Roman" w:cs="Times New Roman"/>
          <w:sz w:val="26"/>
          <w:szCs w:val="26"/>
          <w:lang w:val="en-US"/>
        </w:rPr>
        <w:t>-</w:t>
      </w:r>
      <w:r w:rsidRPr="005E154F">
        <w:rPr>
          <w:rFonts w:ascii="Times New Roman" w:hAnsi="Times New Roman" w:cs="Times New Roman"/>
          <w:sz w:val="26"/>
          <w:szCs w:val="26"/>
        </w:rPr>
        <w:t xml:space="preserve"> đặc biệt trong mô tả vùng giao thoa CD × DP, nơi quá trình thu thập dữ liệu và quá trình thực thi không thể tách biệt. Điểm bổ sung: bài viết này cụ thể hóa cơ chế tạo ra sự mờ nhạt đó qua vòng lặp phản hồi khép kín.</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16"/>
        <w:gridCol w:w="1915"/>
        <w:gridCol w:w="1915"/>
        <w:gridCol w:w="1915"/>
        <w:gridCol w:w="1915"/>
      </w:tblGrid>
      <w:tr w:rsidR="005E154F" w:rsidRPr="005E154F" w14:paraId="4187A601" w14:textId="77777777" w:rsidTr="009D3E88">
        <w:trPr>
          <w:cnfStyle w:val="100000000000" w:firstRow="1" w:lastRow="0" w:firstColumn="0" w:lastColumn="0" w:oddVBand="0" w:evenVBand="0" w:oddHBand="0" w:evenHBand="0" w:firstRowFirstColumn="0" w:firstRowLastColumn="0" w:lastRowFirstColumn="0" w:lastRowLastColumn="0"/>
          <w:tblHeader/>
        </w:trPr>
        <w:tc>
          <w:tcPr>
            <w:tcW w:w="1584" w:type="dxa"/>
            <w:tcBorders>
              <w:bottom w:val="none" w:sz="0" w:space="0" w:color="auto"/>
            </w:tcBorders>
          </w:tcPr>
          <w:p w14:paraId="64C26D29" w14:textId="77777777" w:rsidR="00331D60" w:rsidRPr="009D3E88" w:rsidRDefault="00EF05C5" w:rsidP="005E154F">
            <w:pPr>
              <w:pStyle w:val="Compact"/>
              <w:spacing w:before="120" w:after="120" w:line="276" w:lineRule="auto"/>
              <w:jc w:val="both"/>
              <w:rPr>
                <w:rFonts w:ascii="Times New Roman" w:hAnsi="Times New Roman" w:cs="Times New Roman"/>
                <w:b/>
                <w:bCs/>
                <w:sz w:val="26"/>
                <w:szCs w:val="26"/>
              </w:rPr>
            </w:pPr>
            <w:r w:rsidRPr="009D3E88">
              <w:rPr>
                <w:rFonts w:ascii="Times New Roman" w:hAnsi="Times New Roman" w:cs="Times New Roman"/>
                <w:b/>
                <w:bCs/>
                <w:sz w:val="26"/>
                <w:szCs w:val="26"/>
              </w:rPr>
              <w:t>Chiều so sánh</w:t>
            </w:r>
          </w:p>
        </w:tc>
        <w:tc>
          <w:tcPr>
            <w:tcW w:w="1584" w:type="dxa"/>
            <w:tcBorders>
              <w:bottom w:val="none" w:sz="0" w:space="0" w:color="auto"/>
            </w:tcBorders>
          </w:tcPr>
          <w:p w14:paraId="11E2BD34" w14:textId="77777777" w:rsidR="00331D60" w:rsidRPr="009D3E88" w:rsidRDefault="00EF05C5" w:rsidP="005E154F">
            <w:pPr>
              <w:pStyle w:val="Compact"/>
              <w:spacing w:before="120" w:after="120" w:line="276" w:lineRule="auto"/>
              <w:jc w:val="both"/>
              <w:rPr>
                <w:rFonts w:ascii="Times New Roman" w:hAnsi="Times New Roman" w:cs="Times New Roman"/>
                <w:b/>
                <w:bCs/>
                <w:sz w:val="26"/>
                <w:szCs w:val="26"/>
              </w:rPr>
            </w:pPr>
            <w:r w:rsidRPr="009D3E88">
              <w:rPr>
                <w:rFonts w:ascii="Times New Roman" w:hAnsi="Times New Roman" w:cs="Times New Roman"/>
                <w:b/>
                <w:bCs/>
                <w:sz w:val="26"/>
                <w:szCs w:val="26"/>
              </w:rPr>
              <w:t>Teece (2007)</w:t>
            </w:r>
          </w:p>
        </w:tc>
        <w:tc>
          <w:tcPr>
            <w:tcW w:w="1584" w:type="dxa"/>
            <w:tcBorders>
              <w:bottom w:val="none" w:sz="0" w:space="0" w:color="auto"/>
            </w:tcBorders>
          </w:tcPr>
          <w:p w14:paraId="42812F4F" w14:textId="77777777" w:rsidR="00331D60" w:rsidRPr="009D3E88" w:rsidRDefault="00EF05C5" w:rsidP="005E154F">
            <w:pPr>
              <w:pStyle w:val="Compact"/>
              <w:spacing w:before="120" w:after="120" w:line="276" w:lineRule="auto"/>
              <w:jc w:val="both"/>
              <w:rPr>
                <w:rFonts w:ascii="Times New Roman" w:hAnsi="Times New Roman" w:cs="Times New Roman"/>
                <w:b/>
                <w:bCs/>
                <w:sz w:val="26"/>
                <w:szCs w:val="26"/>
              </w:rPr>
            </w:pPr>
            <w:r w:rsidRPr="009D3E88">
              <w:rPr>
                <w:rFonts w:ascii="Times New Roman" w:hAnsi="Times New Roman" w:cs="Times New Roman"/>
                <w:b/>
                <w:bCs/>
                <w:sz w:val="26"/>
                <w:szCs w:val="26"/>
              </w:rPr>
              <w:t>Nwankpa &amp; Roumani (2016)</w:t>
            </w:r>
          </w:p>
        </w:tc>
        <w:tc>
          <w:tcPr>
            <w:tcW w:w="1584" w:type="dxa"/>
            <w:tcBorders>
              <w:bottom w:val="none" w:sz="0" w:space="0" w:color="auto"/>
            </w:tcBorders>
          </w:tcPr>
          <w:p w14:paraId="7100C51C" w14:textId="77777777" w:rsidR="00331D60" w:rsidRPr="009D3E88" w:rsidRDefault="00EF05C5" w:rsidP="005E154F">
            <w:pPr>
              <w:pStyle w:val="Compact"/>
              <w:spacing w:before="120" w:after="120" w:line="276" w:lineRule="auto"/>
              <w:jc w:val="both"/>
              <w:rPr>
                <w:rFonts w:ascii="Times New Roman" w:hAnsi="Times New Roman" w:cs="Times New Roman"/>
                <w:b/>
                <w:bCs/>
                <w:sz w:val="26"/>
                <w:szCs w:val="26"/>
              </w:rPr>
            </w:pPr>
            <w:r w:rsidRPr="009D3E88">
              <w:rPr>
                <w:rFonts w:ascii="Times New Roman" w:hAnsi="Times New Roman" w:cs="Times New Roman"/>
                <w:b/>
                <w:bCs/>
                <w:sz w:val="26"/>
                <w:szCs w:val="26"/>
              </w:rPr>
              <w:t>Nambisan et al. (2017)</w:t>
            </w:r>
          </w:p>
        </w:tc>
        <w:tc>
          <w:tcPr>
            <w:tcW w:w="1584" w:type="dxa"/>
            <w:tcBorders>
              <w:bottom w:val="none" w:sz="0" w:space="0" w:color="auto"/>
            </w:tcBorders>
          </w:tcPr>
          <w:p w14:paraId="4596B417" w14:textId="77777777" w:rsidR="00331D60" w:rsidRPr="009D3E88" w:rsidRDefault="00EF05C5" w:rsidP="005E154F">
            <w:pPr>
              <w:pStyle w:val="Compact"/>
              <w:spacing w:before="120" w:after="120" w:line="276" w:lineRule="auto"/>
              <w:jc w:val="both"/>
              <w:rPr>
                <w:rFonts w:ascii="Times New Roman" w:hAnsi="Times New Roman" w:cs="Times New Roman"/>
                <w:b/>
                <w:bCs/>
                <w:sz w:val="26"/>
                <w:szCs w:val="26"/>
              </w:rPr>
            </w:pPr>
            <w:r w:rsidRPr="009D3E88">
              <w:rPr>
                <w:rFonts w:ascii="Times New Roman" w:hAnsi="Times New Roman" w:cs="Times New Roman"/>
                <w:b/>
                <w:bCs/>
                <w:sz w:val="26"/>
                <w:szCs w:val="26"/>
              </w:rPr>
              <w:t>Khung này</w:t>
            </w:r>
          </w:p>
        </w:tc>
      </w:tr>
      <w:tr w:rsidR="005E154F" w:rsidRPr="005E154F" w14:paraId="5032A7FF" w14:textId="77777777" w:rsidTr="009D3E88">
        <w:tc>
          <w:tcPr>
            <w:tcW w:w="1584" w:type="dxa"/>
          </w:tcPr>
          <w:p w14:paraId="0BF8516D"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Cấu trúc</w:t>
            </w:r>
          </w:p>
        </w:tc>
        <w:tc>
          <w:tcPr>
            <w:tcW w:w="1584" w:type="dxa"/>
          </w:tcPr>
          <w:p w14:paraId="50588D00"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Ba chiều tuần tự</w:t>
            </w:r>
          </w:p>
        </w:tc>
        <w:tc>
          <w:tcPr>
            <w:tcW w:w="1584" w:type="dxa"/>
          </w:tcPr>
          <w:p w14:paraId="702620FF"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Bốn chiều cộng gộp</w:t>
            </w:r>
          </w:p>
        </w:tc>
        <w:tc>
          <w:tcPr>
            <w:tcW w:w="1584" w:type="dxa"/>
          </w:tcPr>
          <w:p w14:paraId="01CCDB57"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Hệ thống mở</w:t>
            </w:r>
          </w:p>
        </w:tc>
        <w:tc>
          <w:tcPr>
            <w:tcW w:w="1584" w:type="dxa"/>
          </w:tcPr>
          <w:p w14:paraId="2B074018"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Ba trụ cột tương tác</w:t>
            </w:r>
          </w:p>
        </w:tc>
      </w:tr>
      <w:tr w:rsidR="005E154F" w:rsidRPr="005E154F" w14:paraId="725A0EB5" w14:textId="77777777" w:rsidTr="009D3E88">
        <w:tc>
          <w:tcPr>
            <w:tcW w:w="1584" w:type="dxa"/>
          </w:tcPr>
          <w:p w14:paraId="4263B2DC"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Cơ chế</w:t>
            </w:r>
          </w:p>
        </w:tc>
        <w:tc>
          <w:tcPr>
            <w:tcW w:w="1584" w:type="dxa"/>
          </w:tcPr>
          <w:p w14:paraId="05D177DE"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Không tường minh</w:t>
            </w:r>
          </w:p>
        </w:tc>
        <w:tc>
          <w:tcPr>
            <w:tcW w:w="1584" w:type="dxa"/>
          </w:tcPr>
          <w:p w14:paraId="4FF0403C"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Không tường minh</w:t>
            </w:r>
          </w:p>
        </w:tc>
        <w:tc>
          <w:tcPr>
            <w:tcW w:w="1584" w:type="dxa"/>
          </w:tcPr>
          <w:p w14:paraId="4EDD2DAA"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Mờ nhạt biên giới</w:t>
            </w:r>
          </w:p>
        </w:tc>
        <w:tc>
          <w:tcPr>
            <w:tcW w:w="1584" w:type="dxa"/>
          </w:tcPr>
          <w:p w14:paraId="162DB3DE"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Vòng lặp phản hồi</w:t>
            </w:r>
          </w:p>
        </w:tc>
      </w:tr>
      <w:tr w:rsidR="005E154F" w:rsidRPr="005E154F" w14:paraId="0FA4C13D" w14:textId="77777777" w:rsidTr="009D3E88">
        <w:tc>
          <w:tcPr>
            <w:tcW w:w="1584" w:type="dxa"/>
          </w:tcPr>
          <w:p w14:paraId="03F32567"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Kết quả</w:t>
            </w:r>
          </w:p>
        </w:tc>
        <w:tc>
          <w:tcPr>
            <w:tcW w:w="1584" w:type="dxa"/>
          </w:tcPr>
          <w:p w14:paraId="21EE8669"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Năng lực động</w:t>
            </w:r>
          </w:p>
        </w:tc>
        <w:tc>
          <w:tcPr>
            <w:tcW w:w="1584" w:type="dxa"/>
          </w:tcPr>
          <w:p w14:paraId="56A72124"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DIC tổng hợp</w:t>
            </w:r>
          </w:p>
        </w:tc>
        <w:tc>
          <w:tcPr>
            <w:tcW w:w="1584" w:type="dxa"/>
          </w:tcPr>
          <w:p w14:paraId="64AF485A"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Đổi mới phân tán</w:t>
            </w:r>
          </w:p>
        </w:tc>
        <w:tc>
          <w:tcPr>
            <w:tcW w:w="1584" w:type="dxa"/>
          </w:tcPr>
          <w:p w14:paraId="3377A293"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Thuộc tính trỗi dậy</w:t>
            </w:r>
          </w:p>
        </w:tc>
      </w:tr>
      <w:tr w:rsidR="005E154F" w:rsidRPr="005E154F" w14:paraId="30BDBDA8" w14:textId="77777777" w:rsidTr="009D3E88">
        <w:tc>
          <w:tcPr>
            <w:tcW w:w="1584" w:type="dxa"/>
          </w:tcPr>
          <w:p w14:paraId="3E9600DA"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lastRenderedPageBreak/>
              <w:t>Phù hợp SMEs</w:t>
            </w:r>
          </w:p>
        </w:tc>
        <w:tc>
          <w:tcPr>
            <w:tcW w:w="1584" w:type="dxa"/>
          </w:tcPr>
          <w:p w14:paraId="1BAB6DCF"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Hạn chế</w:t>
            </w:r>
          </w:p>
        </w:tc>
        <w:tc>
          <w:tcPr>
            <w:tcW w:w="1584" w:type="dxa"/>
          </w:tcPr>
          <w:p w14:paraId="1AA06409"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Có</w:t>
            </w:r>
          </w:p>
        </w:tc>
        <w:tc>
          <w:tcPr>
            <w:tcW w:w="1584" w:type="dxa"/>
          </w:tcPr>
          <w:p w14:paraId="162A6BD6"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Trung bình</w:t>
            </w:r>
          </w:p>
        </w:tc>
        <w:tc>
          <w:tcPr>
            <w:tcW w:w="1584" w:type="dxa"/>
          </w:tcPr>
          <w:p w14:paraId="7477BDEA" w14:textId="77777777" w:rsidR="00331D60" w:rsidRPr="005E154F" w:rsidRDefault="00EF05C5" w:rsidP="005E154F">
            <w:pPr>
              <w:pStyle w:val="Compac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Tập trung</w:t>
            </w:r>
          </w:p>
        </w:tc>
      </w:tr>
    </w:tbl>
    <w:p w14:paraId="7A39861C" w14:textId="105C4664" w:rsidR="00331D60" w:rsidRPr="005E154F"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28" w:name="minh-chứng-thực-tiễn"/>
      <w:bookmarkEnd w:id="24"/>
      <w:bookmarkEnd w:id="27"/>
      <w:r w:rsidRPr="005E154F">
        <w:rPr>
          <w:rFonts w:ascii="Times New Roman" w:hAnsi="Times New Roman" w:cs="Times New Roman"/>
          <w:b/>
          <w:bCs/>
          <w:color w:val="auto"/>
          <w:sz w:val="26"/>
          <w:szCs w:val="26"/>
          <w:lang w:val="vi-VN"/>
        </w:rPr>
        <w:t>VI</w:t>
      </w:r>
      <w:r w:rsidRPr="005E154F">
        <w:rPr>
          <w:rFonts w:ascii="Times New Roman" w:hAnsi="Times New Roman" w:cs="Times New Roman"/>
          <w:b/>
          <w:bCs/>
          <w:color w:val="auto"/>
          <w:sz w:val="26"/>
          <w:szCs w:val="26"/>
        </w:rPr>
        <w:t>. MINH CHỨNG THỰC TIỄN</w:t>
      </w:r>
    </w:p>
    <w:p w14:paraId="0BDAE1E0" w14:textId="462D9125" w:rsidR="00331D60" w:rsidRPr="005E154F" w:rsidRDefault="00EF05C5" w:rsidP="005E154F">
      <w:pPr>
        <w:pStyle w:val="BlockText"/>
        <w:spacing w:before="120" w:after="120" w:line="276" w:lineRule="auto"/>
        <w:jc w:val="both"/>
        <w:rPr>
          <w:rFonts w:ascii="Times New Roman" w:hAnsi="Times New Roman" w:cs="Times New Roman"/>
          <w:sz w:val="26"/>
          <w:szCs w:val="26"/>
        </w:rPr>
      </w:pPr>
      <w:r w:rsidRPr="005E154F">
        <w:rPr>
          <w:rFonts w:ascii="Times New Roman" w:hAnsi="Times New Roman" w:cs="Times New Roman"/>
          <w:i/>
          <w:iCs/>
          <w:sz w:val="26"/>
          <w:szCs w:val="26"/>
        </w:rPr>
        <w:t xml:space="preserve">Lưu ý phương pháp: Phần này trình bày hai nhóm minh chứng với tính chất khác nhau. Nhóm A là ví dụ tham chiếu từ các doanh nghiệp lớn, được dùng chỉ để minh họa cơ chế hoạt động ở quy mô đã kiểm chứng </w:t>
      </w:r>
      <w:r w:rsidR="00AA703D">
        <w:rPr>
          <w:rFonts w:ascii="Times New Roman" w:hAnsi="Times New Roman" w:cs="Times New Roman"/>
          <w:i/>
          <w:iCs/>
          <w:sz w:val="26"/>
          <w:szCs w:val="26"/>
        </w:rPr>
        <w:t>-</w:t>
      </w:r>
      <w:r w:rsidRPr="005E154F">
        <w:rPr>
          <w:rFonts w:ascii="Times New Roman" w:hAnsi="Times New Roman" w:cs="Times New Roman"/>
          <w:i/>
          <w:iCs/>
          <w:sz w:val="26"/>
          <w:szCs w:val="26"/>
        </w:rPr>
        <w:t xml:space="preserve"> không phải để khẳng định áp dụng trực tiếp cho SMEs. Nhóm B là các kịch bản SME được tổng hợp từ tài liệu nghiên cứu và báo cáo thực tiễn có trích dẫn.</w:t>
      </w:r>
    </w:p>
    <w:p w14:paraId="67181208" w14:textId="17EBAD97" w:rsidR="00331D60" w:rsidRPr="00EF05C5" w:rsidRDefault="00EF05C5" w:rsidP="005E154F">
      <w:pPr>
        <w:pStyle w:val="Heading3"/>
        <w:spacing w:before="120" w:after="120" w:line="276" w:lineRule="auto"/>
        <w:jc w:val="both"/>
        <w:rPr>
          <w:rFonts w:ascii="Times New Roman" w:hAnsi="Times New Roman" w:cs="Times New Roman"/>
          <w:b/>
          <w:bCs/>
          <w:i/>
          <w:iCs/>
          <w:color w:val="auto"/>
          <w:sz w:val="26"/>
          <w:szCs w:val="26"/>
        </w:rPr>
      </w:pPr>
      <w:bookmarkStart w:id="29" w:name="nhóm-a-minh-chứng-cơ-chế-reference-cases"/>
      <w:r w:rsidRPr="00EF05C5">
        <w:rPr>
          <w:rFonts w:ascii="Times New Roman" w:hAnsi="Times New Roman" w:cs="Times New Roman"/>
          <w:b/>
          <w:bCs/>
          <w:i/>
          <w:iCs/>
          <w:color w:val="auto"/>
          <w:sz w:val="26"/>
          <w:szCs w:val="26"/>
        </w:rPr>
        <w:t xml:space="preserve">Nhóm A </w:t>
      </w:r>
      <w:r w:rsidR="00AA703D">
        <w:rPr>
          <w:rFonts w:ascii="Times New Roman" w:hAnsi="Times New Roman" w:cs="Times New Roman"/>
          <w:b/>
          <w:bCs/>
          <w:i/>
          <w:iCs/>
          <w:color w:val="auto"/>
          <w:sz w:val="26"/>
          <w:szCs w:val="26"/>
        </w:rPr>
        <w:t>-</w:t>
      </w:r>
      <w:r w:rsidRPr="00EF05C5">
        <w:rPr>
          <w:rFonts w:ascii="Times New Roman" w:hAnsi="Times New Roman" w:cs="Times New Roman"/>
          <w:b/>
          <w:bCs/>
          <w:i/>
          <w:iCs/>
          <w:color w:val="auto"/>
          <w:sz w:val="26"/>
          <w:szCs w:val="26"/>
        </w:rPr>
        <w:t xml:space="preserve"> Minh Chứng Cơ Chế (Reference Cases)</w:t>
      </w:r>
    </w:p>
    <w:p w14:paraId="2178BDEF" w14:textId="11A90AD8"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A1. Spotify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Cơ chế CD × DP × DT tạo ra đổi mới liên tục</w:t>
      </w:r>
    </w:p>
    <w:p w14:paraId="301B4B6C" w14:textId="6424154E"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Spotify (không phải SME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được dùng để minh họa cơ chế ở quy mô rõ ràng): Nền tảng streaming (DP) liên tục thu thập dữ liệu hành vi nghe nhạc của 600 triệu người dùng (CD). Tư duy thiết kế được vận dụng để đặt câu hỏi: </w:t>
      </w:r>
      <w:r w:rsidRPr="005E154F">
        <w:rPr>
          <w:rFonts w:ascii="Times New Roman" w:hAnsi="Times New Roman" w:cs="Times New Roman"/>
          <w:i/>
          <w:iCs/>
          <w:sz w:val="26"/>
          <w:szCs w:val="26"/>
        </w:rPr>
        <w:t>Tại sao người ta nghe playlist, không phải album?</w:t>
      </w:r>
      <w:r w:rsidRPr="005E154F">
        <w:rPr>
          <w:rFonts w:ascii="Times New Roman" w:hAnsi="Times New Roman" w:cs="Times New Roman"/>
          <w:sz w:val="26"/>
          <w:szCs w:val="26"/>
        </w:rPr>
        <w:t xml:space="preserve">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và giải mã dữ liệu đó thành insight về nhu cầu khám phá âm nhạc mới mà không muốn tự tìm. Kết quả là tính năng “Discover Weekly”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được lập trình như một sản phẩm từ đầu mà trỗi dậy từ sự giao thoa của ba lớp năng lực trên. Cơ chế đáng chú ý: không có bất kỳ trụ cột nào trong ba trụ cột đủ để tạo ra “Discover Weekly” đơn lẻ.</w:t>
      </w:r>
    </w:p>
    <w:p w14:paraId="222940A8" w14:textId="77777777"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i/>
          <w:iCs/>
          <w:sz w:val="26"/>
          <w:szCs w:val="26"/>
        </w:rPr>
        <w:t>(Lưu ý ứng dụng cho SMEs: Cơ chế có thể thu nhỏ quy mô. Thay vì 600 triệu người dùng và thuật toán AI phức tạp, một SME có thể áp dụng cùng cơ chế với 500 khách hàng và phân tích đơn hàng đơn giản để tạo ra đề xuất cá nhân hóa thủ công trước khi tự động hóa.)</w:t>
      </w:r>
    </w:p>
    <w:p w14:paraId="2266379E" w14:textId="0A5A0077" w:rsidR="00331D60" w:rsidRPr="005E154F" w:rsidRDefault="00EF05C5" w:rsidP="005E154F">
      <w:pPr>
        <w:pStyle w:val="Heading3"/>
        <w:spacing w:before="120" w:after="120" w:line="276" w:lineRule="auto"/>
        <w:jc w:val="both"/>
        <w:rPr>
          <w:rFonts w:ascii="Times New Roman" w:hAnsi="Times New Roman" w:cs="Times New Roman"/>
          <w:color w:val="auto"/>
          <w:sz w:val="26"/>
          <w:szCs w:val="26"/>
        </w:rPr>
      </w:pPr>
      <w:bookmarkStart w:id="30" w:name="nhóm-b-kịch-bản-sme-thực-tiễn"/>
      <w:bookmarkEnd w:id="29"/>
      <w:r w:rsidRPr="005E154F">
        <w:rPr>
          <w:rFonts w:ascii="Times New Roman" w:hAnsi="Times New Roman" w:cs="Times New Roman"/>
          <w:color w:val="auto"/>
          <w:sz w:val="26"/>
          <w:szCs w:val="26"/>
        </w:rPr>
        <w:t xml:space="preserve">Nhóm B </w:t>
      </w:r>
      <w:r w:rsidR="00AA703D">
        <w:rPr>
          <w:rFonts w:ascii="Times New Roman" w:hAnsi="Times New Roman" w:cs="Times New Roman"/>
          <w:color w:val="auto"/>
          <w:sz w:val="26"/>
          <w:szCs w:val="26"/>
        </w:rPr>
        <w:t>-</w:t>
      </w:r>
      <w:r w:rsidRPr="005E154F">
        <w:rPr>
          <w:rFonts w:ascii="Times New Roman" w:hAnsi="Times New Roman" w:cs="Times New Roman"/>
          <w:color w:val="auto"/>
          <w:sz w:val="26"/>
          <w:szCs w:val="26"/>
        </w:rPr>
        <w:t xml:space="preserve"> Kịch Bản SME Thực Tiễn</w:t>
      </w:r>
    </w:p>
    <w:p w14:paraId="467077E6" w14:textId="11EB047A" w:rsidR="00331D60" w:rsidRPr="00EF05C5" w:rsidRDefault="00EF05C5" w:rsidP="005E154F">
      <w:pPr>
        <w:pStyle w:val="FirstParagraph"/>
        <w:spacing w:before="120" w:after="120" w:line="276" w:lineRule="auto"/>
        <w:jc w:val="both"/>
        <w:rPr>
          <w:rFonts w:ascii="Times New Roman" w:hAnsi="Times New Roman" w:cs="Times New Roman"/>
          <w:b/>
          <w:bCs/>
          <w:i/>
          <w:iCs/>
          <w:sz w:val="26"/>
          <w:szCs w:val="26"/>
        </w:rPr>
      </w:pPr>
      <w:r w:rsidRPr="00EF05C5">
        <w:rPr>
          <w:rFonts w:ascii="Times New Roman" w:hAnsi="Times New Roman" w:cs="Times New Roman"/>
          <w:b/>
          <w:bCs/>
          <w:i/>
          <w:iCs/>
          <w:sz w:val="26"/>
          <w:szCs w:val="26"/>
        </w:rPr>
        <w:t xml:space="preserve">B1. Chuỗi F&amp;B </w:t>
      </w:r>
      <w:r w:rsidR="00AA703D">
        <w:rPr>
          <w:rFonts w:ascii="Times New Roman" w:hAnsi="Times New Roman" w:cs="Times New Roman"/>
          <w:b/>
          <w:bCs/>
          <w:i/>
          <w:iCs/>
          <w:sz w:val="26"/>
          <w:szCs w:val="26"/>
        </w:rPr>
        <w:t>-</w:t>
      </w:r>
      <w:r w:rsidRPr="00EF05C5">
        <w:rPr>
          <w:rFonts w:ascii="Times New Roman" w:hAnsi="Times New Roman" w:cs="Times New Roman"/>
          <w:b/>
          <w:bCs/>
          <w:i/>
          <w:iCs/>
          <w:sz w:val="26"/>
          <w:szCs w:val="26"/>
        </w:rPr>
        <w:t xml:space="preserve"> Giao thoa DT × CD: Bằng Chứng Đảo Ngược Giả Định</w:t>
      </w:r>
    </w:p>
    <w:p w14:paraId="63B481AD" w14:textId="21870FFC"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i/>
          <w:iCs/>
          <w:sz w:val="26"/>
          <w:szCs w:val="26"/>
        </w:rPr>
        <w:t xml:space="preserve">(Tổng hợp từ báo cáo ứng dụng CRM trong F&amp;B tại Việt Nam </w:t>
      </w:r>
      <w:r w:rsidR="00AA703D">
        <w:rPr>
          <w:rFonts w:ascii="Times New Roman" w:hAnsi="Times New Roman" w:cs="Times New Roman"/>
          <w:i/>
          <w:iCs/>
          <w:sz w:val="26"/>
          <w:szCs w:val="26"/>
        </w:rPr>
        <w:t>-</w:t>
      </w:r>
      <w:r w:rsidRPr="005E154F">
        <w:rPr>
          <w:rFonts w:ascii="Times New Roman" w:hAnsi="Times New Roman" w:cs="Times New Roman"/>
          <w:i/>
          <w:iCs/>
          <w:sz w:val="26"/>
          <w:szCs w:val="26"/>
        </w:rPr>
        <w:t xml:space="preserve"> Topica Founder Institute, 2022)</w:t>
      </w:r>
    </w:p>
    <w:p w14:paraId="1EDFC2DC" w14:textId="388BD50D"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Một chuỗi cà phê vừa (7 cửa hàng, ~40 nhân viên) ban đầu tin rằng khách hàng chủ yếu đến để làm việc và cần không gian yên tĩnh. Đây là giả định thiết kế thuần trực giác. Sau khi tích hợp hệ thống CRM cơ bản và phân tích dữ liệu đặt hàng theo giờ và loại sản phẩm, họ phát hiện: 62% doanh thu trong khung giờ 7:00–9:00 đến từ nhóm “đặt mang </w:t>
      </w:r>
      <w:r w:rsidRPr="005E154F">
        <w:rPr>
          <w:rFonts w:ascii="Times New Roman" w:hAnsi="Times New Roman" w:cs="Times New Roman"/>
          <w:sz w:val="26"/>
          <w:szCs w:val="26"/>
        </w:rPr>
        <w:lastRenderedPageBreak/>
        <w:t xml:space="preserve">đi”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khách hàng không ngồi lại. Tư duy thiết kế được áp dụng để thiết kế lại luồng phục vụ tại quầy (ưu tiên grab-and-go), bố cục cửa hàng và menu theo giờ.</w:t>
      </w:r>
    </w:p>
    <w:p w14:paraId="094332D0" w14:textId="2FB5F4E6"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Cơ chế: Dữ liệu không tự nói lên điều cần làm. Tư duy thiết kế cung cấp khung đặt câu hỏi đúng: </w:t>
      </w:r>
      <w:r w:rsidRPr="005E154F">
        <w:rPr>
          <w:rFonts w:ascii="Times New Roman" w:hAnsi="Times New Roman" w:cs="Times New Roman"/>
          <w:i/>
          <w:iCs/>
          <w:sz w:val="26"/>
          <w:szCs w:val="26"/>
        </w:rPr>
        <w:t>“Điều này cho thấy gì về nhu cầu chưa được đáp ứng?”</w:t>
      </w:r>
      <w:r w:rsidRPr="005E154F">
        <w:rPr>
          <w:rFonts w:ascii="Times New Roman" w:hAnsi="Times New Roman" w:cs="Times New Roman"/>
          <w:sz w:val="26"/>
          <w:szCs w:val="26"/>
        </w:rPr>
        <w:t xml:space="preserve"> Khi hai trụ cột kết hợp, insight xuất hiện không phải từ dữ liệu hay từ quan sát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mà từ vòng lặp phản hồi giữa chúng.</w:t>
      </w:r>
    </w:p>
    <w:p w14:paraId="2E7F4264" w14:textId="56140F3A"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B2. SME Thời Trang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Giao thoa CD × DP: Từ Phán Đoán Trend đến Cá Nhân Hóa Tự Động</w:t>
      </w:r>
    </w:p>
    <w:p w14:paraId="6322BAE3" w14:textId="3D0F05C3"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i/>
          <w:iCs/>
          <w:sz w:val="26"/>
          <w:szCs w:val="26"/>
        </w:rPr>
        <w:t xml:space="preserve">(Tổng hợp từ nghiên cứu ứng dụng Marketing Automation tại SME bán lẻ </w:t>
      </w:r>
      <w:r w:rsidR="00AA703D">
        <w:rPr>
          <w:rFonts w:ascii="Times New Roman" w:hAnsi="Times New Roman" w:cs="Times New Roman"/>
          <w:i/>
          <w:iCs/>
          <w:sz w:val="26"/>
          <w:szCs w:val="26"/>
        </w:rPr>
        <w:t>-</w:t>
      </w:r>
      <w:r w:rsidRPr="005E154F">
        <w:rPr>
          <w:rFonts w:ascii="Times New Roman" w:hAnsi="Times New Roman" w:cs="Times New Roman"/>
          <w:i/>
          <w:iCs/>
          <w:sz w:val="26"/>
          <w:szCs w:val="26"/>
        </w:rPr>
        <w:t xml:space="preserve"> Nielsen Vietnam, 2023)</w:t>
      </w:r>
    </w:p>
    <w:p w14:paraId="46687805" w14:textId="77777777"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Một SME bán lẻ thời trang nam (doanh thu ~15 tỷ/năm) liên tục gặp vấn đề tồn kho cao do phán đoán xu hướng sai. Họ đã có dữ liệu lịch sử mua hàng nhưng không có cách khai thác. Sau khi tích hợp nền tảng Marketing Automation Cloud (DP) với cơ sở dữ liệu khách hàng (CD), hệ thống tự phân khúc khách hàng theo hành vi mua và gửi voucher cá nhân hóa theo lịch sử.</w:t>
      </w:r>
    </w:p>
    <w:p w14:paraId="30D144B0" w14:textId="564BE6F5"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Điểm quan trọng: Nếu chỉ có nền tảng mà không có dữ liệu sạch, hệ thống gửi đại trà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cá nhân hóa. Nếu chỉ có dữ liệu mà không có nền tảng tự động, phân tích tồn tại trên Excel nhưng không chuyển thành hành động. Sự kết hợp tạo ra vòng lặp dữ liệu → hành động → dữ liệu mới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thể có từ từng trụ cột đơn lẻ.</w:t>
      </w:r>
    </w:p>
    <w:p w14:paraId="59F2A202" w14:textId="3D8F3209"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B3. EdTech Startup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Giao thoa DP × DT: Thất Bại Nhanh, Học Hỏi Nhanh Hơn</w:t>
      </w:r>
    </w:p>
    <w:p w14:paraId="4C3E0762" w14:textId="6346CDD2"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i/>
          <w:iCs/>
          <w:sz w:val="26"/>
          <w:szCs w:val="26"/>
        </w:rPr>
        <w:t xml:space="preserve">(Tổng hợp từ báo cáo hệ sinh thái startup EdTech Việt Nam </w:t>
      </w:r>
      <w:r w:rsidR="00AA703D">
        <w:rPr>
          <w:rFonts w:ascii="Times New Roman" w:hAnsi="Times New Roman" w:cs="Times New Roman"/>
          <w:i/>
          <w:iCs/>
          <w:sz w:val="26"/>
          <w:szCs w:val="26"/>
        </w:rPr>
        <w:t>-</w:t>
      </w:r>
      <w:r w:rsidRPr="005E154F">
        <w:rPr>
          <w:rFonts w:ascii="Times New Roman" w:hAnsi="Times New Roman" w:cs="Times New Roman"/>
          <w:i/>
          <w:iCs/>
          <w:sz w:val="26"/>
          <w:szCs w:val="26"/>
        </w:rPr>
        <w:t xml:space="preserve"> Edtech Vietnam Report, 2023)</w:t>
      </w:r>
    </w:p>
    <w:p w14:paraId="02AE2095" w14:textId="3B780971"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Một startup giáo dục trực tuyến (15 nhân viên) muốn thêm tính năng gamification vào khóa học. Phương án ban đầu: phát triển từ đầu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ước tính 3 tháng và ~200 triệu VNĐ. Thay vào đó, họ sử dụng nền tảng low-code (Glide) để tạo nguyên mẫu trong 6 ngày và thử nghiệm với 80 học sinh. Phát hiện: luồng “mở khóa huy chương” gây nhiễu và làm giảm tập trung vào nội dung học thực sự.</w:t>
      </w:r>
    </w:p>
    <w:p w14:paraId="6D24AFC5" w14:textId="24813550"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Cơ chế: Đây là ví dụ điển hình về cách DP hạ thấp chi phí biên của thử nghiệm đến mức DT có thể vận hành đúng bản chất của nó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thử nghiệm nhiều, sai sớm, học nhanh. Nếu không có DP phù hợp, DT bị buộc phải hoạt động theo kiểu “thiết kế một lần, hy vọng đúng”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phủ nhận chính nguyên tắc lặp lại (iteration) của nó.</w:t>
      </w:r>
    </w:p>
    <w:p w14:paraId="1EF9C1A9" w14:textId="39DABE1E"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B4. Ví Dụ Phản Chứng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SME Đầu Tư Công Nghệ Nhưng Thiếu DIC</w:t>
      </w:r>
    </w:p>
    <w:p w14:paraId="6E873806" w14:textId="31BEDC7F"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i/>
          <w:iCs/>
          <w:sz w:val="26"/>
          <w:szCs w:val="26"/>
        </w:rPr>
        <w:t xml:space="preserve">(Kịch bản tổng hợp từ phân tích thất bại số hóa SME </w:t>
      </w:r>
      <w:r w:rsidR="00AA703D">
        <w:rPr>
          <w:rFonts w:ascii="Times New Roman" w:hAnsi="Times New Roman" w:cs="Times New Roman"/>
          <w:i/>
          <w:iCs/>
          <w:sz w:val="26"/>
          <w:szCs w:val="26"/>
        </w:rPr>
        <w:t>-</w:t>
      </w:r>
      <w:r w:rsidRPr="005E154F">
        <w:rPr>
          <w:rFonts w:ascii="Times New Roman" w:hAnsi="Times New Roman" w:cs="Times New Roman"/>
          <w:i/>
          <w:iCs/>
          <w:sz w:val="26"/>
          <w:szCs w:val="26"/>
        </w:rPr>
        <w:t xml:space="preserve"> IDG Vietnam, 2022)</w:t>
      </w:r>
    </w:p>
    <w:p w14:paraId="547D30E5" w14:textId="498B42FD"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lastRenderedPageBreak/>
        <w:t xml:space="preserve">Một công ty dịch vụ vận chuyển vừa (100 nhân viên) đầu tư hệ thống ERP và CRM hiện đại. Sau 18 tháng, cả hai hệ thống vẫn được dùng chủ yếu như “phần mềm nhập liệu”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không có ai phân tích dữ liệu xuất ra, không có quy trình thiết kế lại dịch vụ dựa trên dữ liệu, và nền tảng không được tích hợp API để tự động hóa. Kết quả: chi phí vận hành tăng (phí bản quyền phần mềm) nhưng doanh thu không thay đổi.</w:t>
      </w:r>
    </w:p>
    <w:p w14:paraId="61C99EA0" w14:textId="508683F8"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Phân tích: Đây là ví dụ của việc đầu tư vào trụ cột DP mà không có hai trụ cột còn lại. Nền tảng không có dữ liệu được giải mã có ý nghĩa (CD) và không có tư duy thiết kế lại quy trình (DT) chỉ là một công cụ tĩnh đắt tiền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xác nhận luận điểm trung tâm của bài viết theo hướng phủ định.</w:t>
      </w:r>
    </w:p>
    <w:p w14:paraId="74C008E7" w14:textId="2402B05D" w:rsidR="00331D60" w:rsidRPr="00EF05C5"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31" w:name="phản-luận-và-bảo-vệ-luận-điểm"/>
      <w:bookmarkEnd w:id="28"/>
      <w:bookmarkEnd w:id="30"/>
      <w:r w:rsidRPr="00EF05C5">
        <w:rPr>
          <w:rFonts w:ascii="Times New Roman" w:hAnsi="Times New Roman" w:cs="Times New Roman"/>
          <w:b/>
          <w:bCs/>
          <w:color w:val="auto"/>
          <w:sz w:val="26"/>
          <w:szCs w:val="26"/>
          <w:lang w:val="vi-VN"/>
        </w:rPr>
        <w:t>VII</w:t>
      </w:r>
      <w:r w:rsidRPr="00EF05C5">
        <w:rPr>
          <w:rFonts w:ascii="Times New Roman" w:hAnsi="Times New Roman" w:cs="Times New Roman"/>
          <w:b/>
          <w:bCs/>
          <w:color w:val="auto"/>
          <w:sz w:val="26"/>
          <w:szCs w:val="26"/>
        </w:rPr>
        <w:t>. PHẢN LUẬN VÀ BẢO VỆ LUẬN ĐIỂM</w:t>
      </w:r>
    </w:p>
    <w:p w14:paraId="06228C7E" w14:textId="77777777" w:rsidR="00331D60" w:rsidRPr="00EF05C5"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32" w:name="X15a59d6fbd275b1ba2026fa13d4d24c6eb24812"/>
      <w:r w:rsidRPr="00EF05C5">
        <w:rPr>
          <w:rFonts w:ascii="Times New Roman" w:hAnsi="Times New Roman" w:cs="Times New Roman"/>
          <w:b/>
          <w:bCs/>
          <w:color w:val="auto"/>
          <w:sz w:val="26"/>
          <w:szCs w:val="26"/>
        </w:rPr>
        <w:t>7.1 Phản Luận 1: “Liệu Ba Trụ Cột Có Đủ? Tại Sao Không Phải Bốn Hay Hai?”</w:t>
      </w:r>
    </w:p>
    <w:p w14:paraId="767479F0"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Đây là câu hỏi phản biện tự nhiên và chính đáng. Bài viết này không tuyên bố rằng ba trụ cột là danh sách đầy đủ và khép kín. Thực tế, có thể lập luận rằng các yếu tố như lãnh đạo số (Digital Leadership) hay văn hóa tổ chức là điều kiện tiên quyết quan trọng không kém.</w:t>
      </w:r>
    </w:p>
    <w:p w14:paraId="6D76E6EB" w14:textId="3AB8E809"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Lý do bài viết tập trung vào ba trụ cột này: đây là ba lớp năng lực cấu thành trực tiếp của quá trình đổi mới số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nhận thức (DT), tri thức (CD) và hành động (DP)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và sự giao thoa của chúng tạo ra vòng lặp đầy đủ. Lãnh đạo số và văn hóa tổ chức đóng vai trò là điều kiện biên (boundary conditions) kích hoạt hoặc kìm hãm hệ thống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quan trọng nhưng thuộc một tầng phân tích khác. Bài viết xác nhận rằng nghiên cứu tương lai cần tích hợp các lớp này.</w:t>
      </w:r>
    </w:p>
    <w:p w14:paraId="0585B398" w14:textId="072B7EA1"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Về “tại sao không phải hai”: mỗi giao thoa hai trụ cột tạo ra năng lực quan trọng nhưng có giới hạn rõ ràng. Không có DP, DT×CD chỉ tạo ra insight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nhưng insight không thể tự thực thi. Không có CD, DT×DP chỉ tạo ra khả năng thử nghiệm nhanh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nhưng thử nghiệm mù. Không có DT, CD×DP tạo ra tự động hóa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nhưng tự động hóa không có hướng. Tính đầy đủ của ba trụ cột xuất phát từ sự bổ sung hàm của ba vùng giao thoa, không phải từ ba trụ cột đơn lẻ.</w:t>
      </w:r>
    </w:p>
    <w:p w14:paraId="7547892F" w14:textId="77777777" w:rsidR="00331D60" w:rsidRPr="00EF05C5"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33" w:name="X84f9028a505a3c5efcfb11b1f82aa8711142ec2"/>
      <w:bookmarkEnd w:id="32"/>
      <w:r w:rsidRPr="00EF05C5">
        <w:rPr>
          <w:rFonts w:ascii="Times New Roman" w:hAnsi="Times New Roman" w:cs="Times New Roman"/>
          <w:b/>
          <w:bCs/>
          <w:color w:val="auto"/>
          <w:sz w:val="26"/>
          <w:szCs w:val="26"/>
        </w:rPr>
        <w:t>7.2 Phản Luận 2: “SMEs Không Có Nguồn Lực Để Xây Dựng Cả Ba Đồng Thời”</w:t>
      </w:r>
    </w:p>
    <w:p w14:paraId="5466CE67"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Đây là phản luận thực tiễn quan trọng nhất và không thể bác bỏ một cách dễ dãi.</w:t>
      </w:r>
    </w:p>
    <w:p w14:paraId="070928DA" w14:textId="2FBFA282"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Câu trả lời của bài viết: Khung này không yêu cầu SMEs đạt độ trưởng thành cao về cả ba trụ cột đồng thời. Điều nó yêu cầu là SMEs duy trì nhận thức hệ thống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hiểu rằng mỗi quyết định đầu tư về một trụ cột đều ảnh hưởng đến khả năng khai thác hai trụ còn lại.</w:t>
      </w:r>
    </w:p>
    <w:p w14:paraId="0570E819" w14:textId="1436B20F"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Trong thực tế: một SME có thể bắt đầu với DT và DP ở mức cơ bản (một buổi workshop design thinking + một tài khoản Google Analytics), sau đó dần dần nâng cấp từng lớp khi </w:t>
      </w:r>
      <w:r w:rsidRPr="005E154F">
        <w:rPr>
          <w:rFonts w:ascii="Times New Roman" w:hAnsi="Times New Roman" w:cs="Times New Roman"/>
          <w:sz w:val="26"/>
          <w:szCs w:val="26"/>
        </w:rPr>
        <w:lastRenderedPageBreak/>
        <w:t xml:space="preserve">tích lũy được năng lực và bằng chứng về giá trị. Điều quan trọng là lộ trình có ý thức hệ thống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thay vì đầu tư toàn bộ nguồn lực vào một trụ cột rồi bỏ qua hai trụ còn lại. Đây là sự khác biệt giữa “đầu tư có chiến lược tích hợp” và “mua phần mềm vì nghe nói hiệu quả.”</w:t>
      </w:r>
    </w:p>
    <w:p w14:paraId="5784C3B3" w14:textId="37F9C9D8" w:rsidR="00331D60" w:rsidRPr="00EF05C5"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34" w:name="Xc6300e19a6cc2220560ef2ac725101f8a939f12"/>
      <w:bookmarkEnd w:id="33"/>
      <w:r w:rsidRPr="00EF05C5">
        <w:rPr>
          <w:rFonts w:ascii="Times New Roman" w:hAnsi="Times New Roman" w:cs="Times New Roman"/>
          <w:b/>
          <w:bCs/>
          <w:color w:val="auto"/>
          <w:sz w:val="26"/>
          <w:szCs w:val="26"/>
        </w:rPr>
        <w:t xml:space="preserve">7.3 Phản Luận 3: “Khung Này Chỉ Phù Hợp Với SMEs Kỹ Thuật Số </w:t>
      </w:r>
      <w:r w:rsidR="00AA703D">
        <w:rPr>
          <w:rFonts w:ascii="Times New Roman" w:hAnsi="Times New Roman" w:cs="Times New Roman"/>
          <w:b/>
          <w:bCs/>
          <w:color w:val="auto"/>
          <w:sz w:val="26"/>
          <w:szCs w:val="26"/>
        </w:rPr>
        <w:t>-</w:t>
      </w:r>
      <w:r w:rsidRPr="00EF05C5">
        <w:rPr>
          <w:rFonts w:ascii="Times New Roman" w:hAnsi="Times New Roman" w:cs="Times New Roman"/>
          <w:b/>
          <w:bCs/>
          <w:color w:val="auto"/>
          <w:sz w:val="26"/>
          <w:szCs w:val="26"/>
        </w:rPr>
        <w:t xml:space="preserve"> Không Áp Dụng Cho SMEs Truyền Thống”</w:t>
      </w:r>
    </w:p>
    <w:p w14:paraId="1B5481D9"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Phản luận này có căn cứ một phần. Khung này hiệu quả hơn đối với SMEs trong ngành dịch vụ và thương mại nơi có điểm tiếp xúc số trực tiếp với khách hàng. Đối với SMEs trong ngành sản xuất thuần túy, thiếu cơ sở hạ tầng dữ liệu khách hàng làm giảm hiệu lực của trụ CD.</w:t>
      </w:r>
    </w:p>
    <w:p w14:paraId="140610D1" w14:textId="050369BF"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Tuy nhiên, ngay cả trong sản xuất, xu hướng số hóa chuỗi cung ứng và xu hướng “servitization” (chuyển từ bán sản phẩm sang bán giải pháp + dịch vụ) đang dần tạo ra điểm tiếp xúc số với khách hàng cuối. Bài viết không tuyên bố khung này là phổ quát tuyệt đối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đây là một trong những điều kiện biên được trình bày ở mục tiếp theo.</w:t>
      </w:r>
    </w:p>
    <w:p w14:paraId="24C6C977" w14:textId="5CD0335B" w:rsidR="00331D60" w:rsidRPr="00EF05C5"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35" w:name="điều-kiện-biên-của-khung"/>
      <w:bookmarkEnd w:id="31"/>
      <w:bookmarkEnd w:id="34"/>
      <w:r w:rsidRPr="00EF05C5">
        <w:rPr>
          <w:rFonts w:ascii="Times New Roman" w:hAnsi="Times New Roman" w:cs="Times New Roman"/>
          <w:b/>
          <w:bCs/>
          <w:color w:val="auto"/>
          <w:sz w:val="26"/>
          <w:szCs w:val="26"/>
          <w:lang w:val="vi-VN"/>
        </w:rPr>
        <w:t>VIII</w:t>
      </w:r>
      <w:r w:rsidRPr="00EF05C5">
        <w:rPr>
          <w:rFonts w:ascii="Times New Roman" w:hAnsi="Times New Roman" w:cs="Times New Roman"/>
          <w:b/>
          <w:bCs/>
          <w:color w:val="auto"/>
          <w:sz w:val="26"/>
          <w:szCs w:val="26"/>
        </w:rPr>
        <w:t>. ĐIỀU KIỆN BIÊN CỦA KHUNG</w:t>
      </w:r>
    </w:p>
    <w:p w14:paraId="792B91F9"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Một khung lý thuyết chỉ có giá trị khi nó rõ ràng về phạm vi hiệu lực của mình. Khung Cộng hưởng Hệ thống DIC hiệu quả cao nhất trong các điều kiện:</w:t>
      </w:r>
    </w:p>
    <w:p w14:paraId="178C030F" w14:textId="648CA21B" w:rsidR="00331D60" w:rsidRPr="005E154F" w:rsidRDefault="00EF05C5" w:rsidP="005E154F">
      <w:pPr>
        <w:pStyle w:val="Compact"/>
        <w:numPr>
          <w:ilvl w:val="0"/>
          <w:numId w:val="4"/>
        </w:numPr>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Ngành nghề: Dịch vụ (F&amp;B, bán lẻ, giáo dục, tài chính tiêu dùng, logistics)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nơi hành vi khách hàng có thể số hóa và thu thập</w:t>
      </w:r>
    </w:p>
    <w:p w14:paraId="715E04D4" w14:textId="77777777" w:rsidR="00331D60" w:rsidRPr="005E154F" w:rsidRDefault="00EF05C5" w:rsidP="005E154F">
      <w:pPr>
        <w:pStyle w:val="Compact"/>
        <w:numPr>
          <w:ilvl w:val="0"/>
          <w:numId w:val="4"/>
        </w:numPr>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Giai đoạn phát triển: SMEs đã qua giai đoạn khởi nghiệp, có lượng khách hàng ổn định đủ để tạo ra dữ liệu có ý nghĩa thống kê (thường từ 200+ khách hàng thường xuyên)</w:t>
      </w:r>
    </w:p>
    <w:p w14:paraId="3EEC2390" w14:textId="77777777" w:rsidR="00331D60" w:rsidRPr="005E154F" w:rsidRDefault="00EF05C5" w:rsidP="005E154F">
      <w:pPr>
        <w:pStyle w:val="Compact"/>
        <w:numPr>
          <w:ilvl w:val="0"/>
          <w:numId w:val="4"/>
        </w:numPr>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Môi trường cạnh tranh: Ngành có mức độ biến động cao (VUCA) nơi tốc độ phản ứng quan trọng hơn quy mô đầu tư</w:t>
      </w:r>
    </w:p>
    <w:p w14:paraId="041D308B"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Khung kém phù hợp trong các điều kiện:</w:t>
      </w:r>
    </w:p>
    <w:p w14:paraId="6EDC072E" w14:textId="178E067F" w:rsidR="00331D60" w:rsidRPr="005E154F" w:rsidRDefault="00EF05C5" w:rsidP="005E154F">
      <w:pPr>
        <w:pStyle w:val="Compact"/>
        <w:numPr>
          <w:ilvl w:val="0"/>
          <w:numId w:val="5"/>
        </w:numPr>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Ngành có quy định dữ liệu nghiêm ngặt: Y tế, tài chính ngân hàng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nơi việc thu thập và khai thác dữ liệu hành vi bị giới hạn bởi pháp lý (GDPR, Luật An toàn thông tin mạng Việt Nam)</w:t>
      </w:r>
    </w:p>
    <w:p w14:paraId="0A0C62E1" w14:textId="7E1ED78D" w:rsidR="00331D60" w:rsidRPr="005E154F" w:rsidRDefault="00EF05C5" w:rsidP="005E154F">
      <w:pPr>
        <w:pStyle w:val="Compact"/>
        <w:numPr>
          <w:ilvl w:val="0"/>
          <w:numId w:val="5"/>
        </w:numPr>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SMEs thiếu hạ tầng số tối thiểu: Doanh nghiệp chưa có website, chưa có hệ thống thu thập dữ liệu bất kỳ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việc xây dựng DP từ đầu cần nguồn lực và thời gian dài hơn khung giả định</w:t>
      </w:r>
    </w:p>
    <w:p w14:paraId="183A0C43" w14:textId="77777777" w:rsidR="00331D60" w:rsidRPr="005E154F" w:rsidRDefault="00EF05C5" w:rsidP="005E154F">
      <w:pPr>
        <w:pStyle w:val="Compact"/>
        <w:numPr>
          <w:ilvl w:val="0"/>
          <w:numId w:val="5"/>
        </w:numPr>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SMEs trong thị trường siêu địa phương: Nơi cạnh tranh dựa trên quan hệ cá nhân và uy tín địa phương hơn là năng lực đổi mới số</w:t>
      </w:r>
    </w:p>
    <w:p w14:paraId="262021C8" w14:textId="63B00123" w:rsidR="00331D60" w:rsidRPr="00EF05C5" w:rsidRDefault="005E154F" w:rsidP="005E154F">
      <w:pPr>
        <w:pStyle w:val="Heading2"/>
        <w:spacing w:before="120" w:after="120" w:line="276" w:lineRule="auto"/>
        <w:jc w:val="both"/>
        <w:rPr>
          <w:rFonts w:ascii="Times New Roman" w:hAnsi="Times New Roman" w:cs="Times New Roman"/>
          <w:b/>
          <w:bCs/>
          <w:color w:val="auto"/>
          <w:sz w:val="26"/>
          <w:szCs w:val="26"/>
        </w:rPr>
      </w:pPr>
      <w:bookmarkStart w:id="36" w:name="kết-luận"/>
      <w:bookmarkEnd w:id="35"/>
      <w:r w:rsidRPr="00EF05C5">
        <w:rPr>
          <w:rFonts w:ascii="Times New Roman" w:hAnsi="Times New Roman" w:cs="Times New Roman"/>
          <w:b/>
          <w:bCs/>
          <w:color w:val="auto"/>
          <w:sz w:val="26"/>
          <w:szCs w:val="26"/>
          <w:lang w:val="vi-VN"/>
        </w:rPr>
        <w:lastRenderedPageBreak/>
        <w:t>IX</w:t>
      </w:r>
      <w:r w:rsidRPr="00EF05C5">
        <w:rPr>
          <w:rFonts w:ascii="Times New Roman" w:hAnsi="Times New Roman" w:cs="Times New Roman"/>
          <w:b/>
          <w:bCs/>
          <w:color w:val="auto"/>
          <w:sz w:val="26"/>
          <w:szCs w:val="26"/>
        </w:rPr>
        <w:t>. KẾT LUẬN</w:t>
      </w:r>
    </w:p>
    <w:p w14:paraId="39BCC0BC" w14:textId="77777777" w:rsidR="00331D60" w:rsidRPr="00EF05C5"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37" w:name="tóm-lược-luận-điểm"/>
      <w:r w:rsidRPr="00EF05C5">
        <w:rPr>
          <w:rFonts w:ascii="Times New Roman" w:hAnsi="Times New Roman" w:cs="Times New Roman"/>
          <w:b/>
          <w:bCs/>
          <w:color w:val="auto"/>
          <w:sz w:val="26"/>
          <w:szCs w:val="26"/>
        </w:rPr>
        <w:t>9.1 Tóm Lược Luận Điểm</w:t>
      </w:r>
    </w:p>
    <w:p w14:paraId="193AC64A" w14:textId="0F9DEFDD"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Bài viết này đã lập luận và diễn giải rằng Năng lực Đổi mới Sáng tạo Số của SMEs không phải là tổng cộng gộp của tư duy thiết kế, dữ liệu khách hàng và nền tảng số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mà là thuộc tính trỗi dậy từ sự tương tác phi tuyến tính của ba trụ cột đó. Cơ chế tạo sinh được diễn giải qua ba vùng giao thoa: Evidence-based Empathy (DT×CD), Analytic-driven Orchestration (CD×DP) và Scalable Prototyping (DP×DT)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mỗi vùng tạo ra một năng lực mới không thể suy ra từ từng trụ cột riêng lẻ, và sự kết hợp của cả ba tạo ra Generative Capacity.</w:t>
      </w:r>
    </w:p>
    <w:p w14:paraId="7ED5BE20" w14:textId="77777777" w:rsidR="00331D60" w:rsidRPr="00EF05C5"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38" w:name="hàm-ý-thực-tiễn"/>
      <w:bookmarkEnd w:id="37"/>
      <w:r w:rsidRPr="00EF05C5">
        <w:rPr>
          <w:rFonts w:ascii="Times New Roman" w:hAnsi="Times New Roman" w:cs="Times New Roman"/>
          <w:b/>
          <w:bCs/>
          <w:color w:val="auto"/>
          <w:sz w:val="26"/>
          <w:szCs w:val="26"/>
        </w:rPr>
        <w:t>9.2 Hàm Ý Thực Tiễn</w:t>
      </w:r>
    </w:p>
    <w:p w14:paraId="68EBC922"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Ba hàm ý thực tiễn quan trọng nhất dành cho SMEs:</w:t>
      </w:r>
    </w:p>
    <w:p w14:paraId="389012C4" w14:textId="75EC7723"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Thứ nhất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Tư duy danh mục tích hợp thay vì tư duy phần mềm rời rạc: Mỗi quyết định đầu tư công nghệ cần được đặt câu hỏi: </w:t>
      </w:r>
      <w:r w:rsidRPr="005E154F">
        <w:rPr>
          <w:rFonts w:ascii="Times New Roman" w:hAnsi="Times New Roman" w:cs="Times New Roman"/>
          <w:i/>
          <w:iCs/>
          <w:sz w:val="26"/>
          <w:szCs w:val="26"/>
        </w:rPr>
        <w:t>“Điều này kết nối như thế nào với hai trụ cột còn lại?”</w:t>
      </w:r>
      <w:r w:rsidRPr="005E154F">
        <w:rPr>
          <w:rFonts w:ascii="Times New Roman" w:hAnsi="Times New Roman" w:cs="Times New Roman"/>
          <w:sz w:val="26"/>
          <w:szCs w:val="26"/>
        </w:rPr>
        <w:t xml:space="preserve"> Một hệ thống CRM tốt nhất khi nó được chọn không phải vì tính năng mà vì khả năng tích hợp API với nền tảng thiết kế trải nghiệm và hệ thống phân tích hành vi.</w:t>
      </w:r>
    </w:p>
    <w:p w14:paraId="0A2CB4E2" w14:textId="17B4E781"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Thứ hai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Xây dựng vòng lặp phản hồi có chủ đích: Giá trị không xuất hiện khi ba trụ cột tồn tại mà khi chúng tạo ra các vòng lặp phản hồi có chủ đích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dữ liệu thông báo cho thiết kế, thiết kế định hướng nền tảng, nền tảng tạo ra dữ liệu mới. Thiết lập quy trình tổ chức để ba vòng lặp này chạy đều đặn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tuần, tháng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quan trọng hơn chất lượng kỹ thuật của bất kỳ hệ thống đơn lẻ nào.</w:t>
      </w:r>
    </w:p>
    <w:p w14:paraId="7024071C" w14:textId="272CB1C1"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Thứ ba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Ưu tiên chi phí thất bại thấp hơn là chất lượng thiết kế cao ngay từ đầu: Nguyên tắc của Ries (2011)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“Build, measure, learn”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chỉ có thể hoạt động khi chi phí của mỗi vòng lặp đủ thấp để doanh nghiệp dám thực hiện. Chọn nền tảng cho phép thử nghiệm nhanh quan trọng hơn chọn nền tảng “hoàn hảo nhưng đắt và chậm.”</w:t>
      </w:r>
    </w:p>
    <w:p w14:paraId="3131A22D" w14:textId="77777777" w:rsidR="00331D60" w:rsidRPr="00EF05C5" w:rsidRDefault="00EF05C5" w:rsidP="005E154F">
      <w:pPr>
        <w:pStyle w:val="Heading3"/>
        <w:spacing w:before="120" w:after="120" w:line="276" w:lineRule="auto"/>
        <w:jc w:val="both"/>
        <w:rPr>
          <w:rFonts w:ascii="Times New Roman" w:hAnsi="Times New Roman" w:cs="Times New Roman"/>
          <w:b/>
          <w:bCs/>
          <w:color w:val="auto"/>
          <w:sz w:val="26"/>
          <w:szCs w:val="26"/>
        </w:rPr>
      </w:pPr>
      <w:bookmarkStart w:id="39" w:name="hàm-ý-lý-thuyết"/>
      <w:bookmarkEnd w:id="38"/>
      <w:r w:rsidRPr="00EF05C5">
        <w:rPr>
          <w:rFonts w:ascii="Times New Roman" w:hAnsi="Times New Roman" w:cs="Times New Roman"/>
          <w:b/>
          <w:bCs/>
          <w:color w:val="auto"/>
          <w:sz w:val="26"/>
          <w:szCs w:val="26"/>
        </w:rPr>
        <w:t>9.3 Hàm Ý Lý Thuyết</w:t>
      </w:r>
    </w:p>
    <w:p w14:paraId="58276C7E" w14:textId="77777777" w:rsidR="00331D60" w:rsidRPr="005E154F" w:rsidRDefault="00EF05C5" w:rsidP="005E154F">
      <w:pPr>
        <w:pStyle w:val="FirstParagraph"/>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Về mặt lý thuyết, bài viết này đóng góp vào ba cuộc đối thoại học thuật đang diễn ra:</w:t>
      </w:r>
    </w:p>
    <w:p w14:paraId="7B79F6EF" w14:textId="77777777"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Đối với lý thuyết Năng lực Động (DCT): Bài viết đề xuất rằng trong bối cảnh số hóa SMEs, chiều Transforming của Teece (2007) cần được phân tách thành hai chiều riêng biệt: </w:t>
      </w:r>
      <w:r w:rsidRPr="005E154F">
        <w:rPr>
          <w:rFonts w:ascii="Times New Roman" w:hAnsi="Times New Roman" w:cs="Times New Roman"/>
          <w:i/>
          <w:iCs/>
          <w:sz w:val="26"/>
          <w:szCs w:val="26"/>
        </w:rPr>
        <w:t>Orchestrating</w:t>
      </w:r>
      <w:r w:rsidRPr="005E154F">
        <w:rPr>
          <w:rFonts w:ascii="Times New Roman" w:hAnsi="Times New Roman" w:cs="Times New Roman"/>
          <w:sz w:val="26"/>
          <w:szCs w:val="26"/>
        </w:rPr>
        <w:t xml:space="preserve"> (điều phối nền tảng và dữ liệu) và </w:t>
      </w:r>
      <w:r w:rsidRPr="005E154F">
        <w:rPr>
          <w:rFonts w:ascii="Times New Roman" w:hAnsi="Times New Roman" w:cs="Times New Roman"/>
          <w:i/>
          <w:iCs/>
          <w:sz w:val="26"/>
          <w:szCs w:val="26"/>
        </w:rPr>
        <w:t>Generating</w:t>
      </w:r>
      <w:r w:rsidRPr="005E154F">
        <w:rPr>
          <w:rFonts w:ascii="Times New Roman" w:hAnsi="Times New Roman" w:cs="Times New Roman"/>
          <w:sz w:val="26"/>
          <w:szCs w:val="26"/>
        </w:rPr>
        <w:t xml:space="preserve"> (tạo ra cấu hình giá trị mới). Đây là điểm phát triển lý thuyết tiềm năng cho nghiên cứu tương lai.</w:t>
      </w:r>
    </w:p>
    <w:p w14:paraId="110334E0" w14:textId="7B127B50"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Đối với lý thuyết Generativity: Bài viết này mở rộng khái niệm Generativity của Zittrain (2006) và Yoo et al. (2010) từ cấp độ hệ thống kỹ thuật sang cấp độ năng lực tổ chức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w:t>
      </w:r>
      <w:r w:rsidRPr="005E154F">
        <w:rPr>
          <w:rFonts w:ascii="Times New Roman" w:hAnsi="Times New Roman" w:cs="Times New Roman"/>
          <w:sz w:val="26"/>
          <w:szCs w:val="26"/>
        </w:rPr>
        <w:lastRenderedPageBreak/>
        <w:t>lập luận rằng Generative Capacity có thể được nuôi dưỡng chủ đích qua thiết kế tổ chức, không chỉ xuất hiện ngẫu nhiên.</w:t>
      </w:r>
    </w:p>
    <w:p w14:paraId="43102734" w14:textId="6EF56A0B" w:rsidR="00331D60" w:rsidRPr="005E154F" w:rsidRDefault="00EF05C5" w:rsidP="005E154F">
      <w:pPr>
        <w:pStyle w:val="BodyText"/>
        <w:spacing w:before="120" w:after="120" w:line="276" w:lineRule="auto"/>
        <w:jc w:val="both"/>
        <w:rPr>
          <w:rFonts w:ascii="Times New Roman" w:hAnsi="Times New Roman" w:cs="Times New Roman"/>
          <w:sz w:val="26"/>
          <w:szCs w:val="26"/>
        </w:rPr>
      </w:pPr>
      <w:r w:rsidRPr="005E154F">
        <w:rPr>
          <w:rFonts w:ascii="Times New Roman" w:hAnsi="Times New Roman" w:cs="Times New Roman"/>
          <w:sz w:val="26"/>
          <w:szCs w:val="26"/>
        </w:rPr>
        <w:t xml:space="preserve">Đối với nghiên cứu SMEs trong bối cảnh mới nổi: Bài viết gợi ý rằng mô hình “đổi mới không cần R&amp;D” (non-R&amp;D innovation) phù hợp với SMEs tại các thị trường mới nổi như Việt Nam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nơi tài nguyên cho nghiên cứu và phát triển bài bản bị hạn chế </w:t>
      </w:r>
      <w:r w:rsidR="00AA703D">
        <w:rPr>
          <w:rFonts w:ascii="Times New Roman" w:hAnsi="Times New Roman" w:cs="Times New Roman"/>
          <w:sz w:val="26"/>
          <w:szCs w:val="26"/>
        </w:rPr>
        <w:t>-</w:t>
      </w:r>
      <w:r w:rsidRPr="005E154F">
        <w:rPr>
          <w:rFonts w:ascii="Times New Roman" w:hAnsi="Times New Roman" w:cs="Times New Roman"/>
          <w:sz w:val="26"/>
          <w:szCs w:val="26"/>
        </w:rPr>
        <w:t xml:space="preserve"> có thể được lý thuyết hóa qua khung Cộng hưởng Hệ thống DIC, mở ra hướng nghiên cứu thực nghiệm cụ thể cho bối cảnh này.</w:t>
      </w:r>
    </w:p>
    <w:p w14:paraId="2E467872" w14:textId="609F0320" w:rsidR="00331D60" w:rsidRPr="00EF05C5" w:rsidRDefault="005E154F">
      <w:pPr>
        <w:pStyle w:val="Heading2"/>
        <w:rPr>
          <w:rFonts w:ascii="Times New Roman" w:hAnsi="Times New Roman" w:cs="Times New Roman"/>
          <w:b/>
          <w:bCs/>
          <w:color w:val="auto"/>
          <w:sz w:val="26"/>
          <w:szCs w:val="26"/>
        </w:rPr>
      </w:pPr>
      <w:bookmarkStart w:id="40" w:name="danh-mục-tài-liệu-tham-khảo"/>
      <w:bookmarkEnd w:id="36"/>
      <w:bookmarkEnd w:id="39"/>
      <w:r w:rsidRPr="00EF05C5">
        <w:rPr>
          <w:rFonts w:ascii="Times New Roman" w:hAnsi="Times New Roman" w:cs="Times New Roman"/>
          <w:b/>
          <w:bCs/>
          <w:color w:val="auto"/>
          <w:sz w:val="26"/>
          <w:szCs w:val="26"/>
        </w:rPr>
        <w:t>DANH MỤC TÀI LIỆU THAM KHẢO</w:t>
      </w:r>
    </w:p>
    <w:p w14:paraId="60877365" w14:textId="77777777" w:rsidR="00331D60" w:rsidRPr="009D3E88" w:rsidRDefault="00EF05C5" w:rsidP="005E154F">
      <w:pPr>
        <w:pStyle w:val="FirstParagraph"/>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Brown, T. (2008). Design thinking. </w:t>
      </w:r>
      <w:r w:rsidRPr="009D3E88">
        <w:rPr>
          <w:rFonts w:ascii="Times New Roman" w:hAnsi="Times New Roman" w:cs="Times New Roman"/>
          <w:i/>
          <w:iCs/>
          <w:sz w:val="26"/>
          <w:szCs w:val="26"/>
        </w:rPr>
        <w:t>Harvard Business Review, 86</w:t>
      </w:r>
      <w:r w:rsidRPr="009D3E88">
        <w:rPr>
          <w:rFonts w:ascii="Times New Roman" w:hAnsi="Times New Roman" w:cs="Times New Roman"/>
          <w:sz w:val="26"/>
          <w:szCs w:val="26"/>
        </w:rPr>
        <w:t>(6), 84–92.</w:t>
      </w:r>
    </w:p>
    <w:p w14:paraId="4762DC8E"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Carlgren, L., Rauth, I., &amp; Elmquist, M. (2016). Framing design thinking: The concept in idea and enactment. </w:t>
      </w:r>
      <w:r w:rsidRPr="009D3E88">
        <w:rPr>
          <w:rFonts w:ascii="Times New Roman" w:hAnsi="Times New Roman" w:cs="Times New Roman"/>
          <w:i/>
          <w:iCs/>
          <w:sz w:val="26"/>
          <w:szCs w:val="26"/>
        </w:rPr>
        <w:t>Creativity and Innovation Management, 25</w:t>
      </w:r>
      <w:r w:rsidRPr="009D3E88">
        <w:rPr>
          <w:rFonts w:ascii="Times New Roman" w:hAnsi="Times New Roman" w:cs="Times New Roman"/>
          <w:sz w:val="26"/>
          <w:szCs w:val="26"/>
        </w:rPr>
        <w:t>(1), 38–57.</w:t>
      </w:r>
    </w:p>
    <w:p w14:paraId="36B41EE2"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Davenport, T. H., &amp; Patil, D. J. (2012). Data scientist: The sexiest job of the 21st century. </w:t>
      </w:r>
      <w:r w:rsidRPr="009D3E88">
        <w:rPr>
          <w:rFonts w:ascii="Times New Roman" w:hAnsi="Times New Roman" w:cs="Times New Roman"/>
          <w:i/>
          <w:iCs/>
          <w:sz w:val="26"/>
          <w:szCs w:val="26"/>
        </w:rPr>
        <w:t>Harvard Business Review, 90</w:t>
      </w:r>
      <w:r w:rsidRPr="009D3E88">
        <w:rPr>
          <w:rFonts w:ascii="Times New Roman" w:hAnsi="Times New Roman" w:cs="Times New Roman"/>
          <w:sz w:val="26"/>
          <w:szCs w:val="26"/>
        </w:rPr>
        <w:t>(10), 70–76.</w:t>
      </w:r>
    </w:p>
    <w:p w14:paraId="3711A223"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Eisenhardt, K. M., &amp; Martin, J. A. (2000). Dynamic capabilities: What are they? </w:t>
      </w:r>
      <w:r w:rsidRPr="009D3E88">
        <w:rPr>
          <w:rFonts w:ascii="Times New Roman" w:hAnsi="Times New Roman" w:cs="Times New Roman"/>
          <w:i/>
          <w:iCs/>
          <w:sz w:val="26"/>
          <w:szCs w:val="26"/>
        </w:rPr>
        <w:t>Strategic Management Journal, 21</w:t>
      </w:r>
      <w:r w:rsidRPr="009D3E88">
        <w:rPr>
          <w:rFonts w:ascii="Times New Roman" w:hAnsi="Times New Roman" w:cs="Times New Roman"/>
          <w:sz w:val="26"/>
          <w:szCs w:val="26"/>
        </w:rPr>
        <w:t>(10–11), 1105–1121.</w:t>
      </w:r>
    </w:p>
    <w:p w14:paraId="3A85F0FB"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Elsbach, K. D., &amp; Stigliani, I. (2018). Design thinking and organizational culture: A review and framework for future research. </w:t>
      </w:r>
      <w:r w:rsidRPr="009D3E88">
        <w:rPr>
          <w:rFonts w:ascii="Times New Roman" w:hAnsi="Times New Roman" w:cs="Times New Roman"/>
          <w:i/>
          <w:iCs/>
          <w:sz w:val="26"/>
          <w:szCs w:val="26"/>
        </w:rPr>
        <w:t>Journal of Management, 44</w:t>
      </w:r>
      <w:r w:rsidRPr="009D3E88">
        <w:rPr>
          <w:rFonts w:ascii="Times New Roman" w:hAnsi="Times New Roman" w:cs="Times New Roman"/>
          <w:sz w:val="26"/>
          <w:szCs w:val="26"/>
        </w:rPr>
        <w:t>(6), 2274–2306.</w:t>
      </w:r>
    </w:p>
    <w:p w14:paraId="3F7AA5F9"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Günther, W. A., Mehrizi, M. H. R., Huysman, M., &amp; Feldberg, F. (2017). Debating big data: A literature review on realizing value from big data. </w:t>
      </w:r>
      <w:r w:rsidRPr="009D3E88">
        <w:rPr>
          <w:rFonts w:ascii="Times New Roman" w:hAnsi="Times New Roman" w:cs="Times New Roman"/>
          <w:i/>
          <w:iCs/>
          <w:sz w:val="26"/>
          <w:szCs w:val="26"/>
        </w:rPr>
        <w:t>Journal of Strategic Information Systems, 26</w:t>
      </w:r>
      <w:r w:rsidRPr="009D3E88">
        <w:rPr>
          <w:rFonts w:ascii="Times New Roman" w:hAnsi="Times New Roman" w:cs="Times New Roman"/>
          <w:sz w:val="26"/>
          <w:szCs w:val="26"/>
        </w:rPr>
        <w:t>(3), 197–232.</w:t>
      </w:r>
    </w:p>
    <w:p w14:paraId="5F3E24A9"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Kouprie, M., &amp; Visser, F. S. (2009). A framework for empathy in design: Stepping into and out of the user’s life. </w:t>
      </w:r>
      <w:r w:rsidRPr="009D3E88">
        <w:rPr>
          <w:rFonts w:ascii="Times New Roman" w:hAnsi="Times New Roman" w:cs="Times New Roman"/>
          <w:i/>
          <w:iCs/>
          <w:sz w:val="26"/>
          <w:szCs w:val="26"/>
        </w:rPr>
        <w:t>Journal of Engineering Design, 20</w:t>
      </w:r>
      <w:r w:rsidRPr="009D3E88">
        <w:rPr>
          <w:rFonts w:ascii="Times New Roman" w:hAnsi="Times New Roman" w:cs="Times New Roman"/>
          <w:sz w:val="26"/>
          <w:szCs w:val="26"/>
        </w:rPr>
        <w:t>(5), 437–448.</w:t>
      </w:r>
    </w:p>
    <w:p w14:paraId="6E11541D"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McAfee, A., &amp; Brynjolfsson, E. (2012). Big data: The management revolution. </w:t>
      </w:r>
      <w:r w:rsidRPr="009D3E88">
        <w:rPr>
          <w:rFonts w:ascii="Times New Roman" w:hAnsi="Times New Roman" w:cs="Times New Roman"/>
          <w:i/>
          <w:iCs/>
          <w:sz w:val="26"/>
          <w:szCs w:val="26"/>
        </w:rPr>
        <w:t>Harvard Business Review, 90</w:t>
      </w:r>
      <w:r w:rsidRPr="009D3E88">
        <w:rPr>
          <w:rFonts w:ascii="Times New Roman" w:hAnsi="Times New Roman" w:cs="Times New Roman"/>
          <w:sz w:val="26"/>
          <w:szCs w:val="26"/>
        </w:rPr>
        <w:t>(10), 60–68.</w:t>
      </w:r>
    </w:p>
    <w:p w14:paraId="29D4CBE1"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Nambisan, S., Lyytinen, K., Majchrzak, A., &amp; Song, M. (2017). Digital innovation management: Reinventing innovation management research in a digital world. </w:t>
      </w:r>
      <w:r w:rsidRPr="009D3E88">
        <w:rPr>
          <w:rFonts w:ascii="Times New Roman" w:hAnsi="Times New Roman" w:cs="Times New Roman"/>
          <w:i/>
          <w:iCs/>
          <w:sz w:val="26"/>
          <w:szCs w:val="26"/>
        </w:rPr>
        <w:t>MIS Quarterly, 41</w:t>
      </w:r>
      <w:r w:rsidRPr="009D3E88">
        <w:rPr>
          <w:rFonts w:ascii="Times New Roman" w:hAnsi="Times New Roman" w:cs="Times New Roman"/>
          <w:sz w:val="26"/>
          <w:szCs w:val="26"/>
        </w:rPr>
        <w:t>(1), 223–238.</w:t>
      </w:r>
    </w:p>
    <w:p w14:paraId="639E4D94"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Nwankpa, J. K., &amp; Roumani, Y. (2016). IT capability and digital transformation: A firm performance perspective. </w:t>
      </w:r>
      <w:r w:rsidRPr="009D3E88">
        <w:rPr>
          <w:rFonts w:ascii="Times New Roman" w:hAnsi="Times New Roman" w:cs="Times New Roman"/>
          <w:i/>
          <w:iCs/>
          <w:sz w:val="26"/>
          <w:szCs w:val="26"/>
        </w:rPr>
        <w:t>AMCIS 2016 Proceedings</w:t>
      </w:r>
      <w:r w:rsidRPr="009D3E88">
        <w:rPr>
          <w:rFonts w:ascii="Times New Roman" w:hAnsi="Times New Roman" w:cs="Times New Roman"/>
          <w:sz w:val="26"/>
          <w:szCs w:val="26"/>
        </w:rPr>
        <w:t>, Paper 1.</w:t>
      </w:r>
    </w:p>
    <w:p w14:paraId="4B13149C"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Parker, G. G., Van Alstyne, M. W., &amp; Choudary, S. P. (2016). </w:t>
      </w:r>
      <w:r w:rsidRPr="009D3E88">
        <w:rPr>
          <w:rFonts w:ascii="Times New Roman" w:hAnsi="Times New Roman" w:cs="Times New Roman"/>
          <w:i/>
          <w:iCs/>
          <w:sz w:val="26"/>
          <w:szCs w:val="26"/>
        </w:rPr>
        <w:t>Platform revolution: How networked markets are transforming the economy and how to make them work for you.</w:t>
      </w:r>
      <w:r w:rsidRPr="009D3E88">
        <w:rPr>
          <w:rFonts w:ascii="Times New Roman" w:hAnsi="Times New Roman" w:cs="Times New Roman"/>
          <w:sz w:val="26"/>
          <w:szCs w:val="26"/>
        </w:rPr>
        <w:t xml:space="preserve"> W. W. Norton &amp; Company.</w:t>
      </w:r>
    </w:p>
    <w:p w14:paraId="360A8974"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lastRenderedPageBreak/>
        <w:t xml:space="preserve">Rialti, R., Marzi, G., Ciappei, C., &amp; Busso, D. (2019). Big data analytics and agility: Linking dynamic capabilities and performance. </w:t>
      </w:r>
      <w:r w:rsidRPr="009D3E88">
        <w:rPr>
          <w:rFonts w:ascii="Times New Roman" w:hAnsi="Times New Roman" w:cs="Times New Roman"/>
          <w:i/>
          <w:iCs/>
          <w:sz w:val="26"/>
          <w:szCs w:val="26"/>
        </w:rPr>
        <w:t>Management Decision, 57</w:t>
      </w:r>
      <w:r w:rsidRPr="009D3E88">
        <w:rPr>
          <w:rFonts w:ascii="Times New Roman" w:hAnsi="Times New Roman" w:cs="Times New Roman"/>
          <w:sz w:val="26"/>
          <w:szCs w:val="26"/>
        </w:rPr>
        <w:t>(8), 1815–1832.</w:t>
      </w:r>
    </w:p>
    <w:p w14:paraId="4D47E661"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Ries, E. (2011). </w:t>
      </w:r>
      <w:r w:rsidRPr="009D3E88">
        <w:rPr>
          <w:rFonts w:ascii="Times New Roman" w:hAnsi="Times New Roman" w:cs="Times New Roman"/>
          <w:i/>
          <w:iCs/>
          <w:sz w:val="26"/>
          <w:szCs w:val="26"/>
        </w:rPr>
        <w:t>The lean startup: How today’s entrepreneurs use continuous innovation to create radically successful businesses.</w:t>
      </w:r>
      <w:r w:rsidRPr="009D3E88">
        <w:rPr>
          <w:rFonts w:ascii="Times New Roman" w:hAnsi="Times New Roman" w:cs="Times New Roman"/>
          <w:sz w:val="26"/>
          <w:szCs w:val="26"/>
        </w:rPr>
        <w:t xml:space="preserve"> Crown Business.</w:t>
      </w:r>
    </w:p>
    <w:p w14:paraId="5A5DFCC4"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Stacey, R. D. (2003). </w:t>
      </w:r>
      <w:r w:rsidRPr="009D3E88">
        <w:rPr>
          <w:rFonts w:ascii="Times New Roman" w:hAnsi="Times New Roman" w:cs="Times New Roman"/>
          <w:i/>
          <w:iCs/>
          <w:sz w:val="26"/>
          <w:szCs w:val="26"/>
        </w:rPr>
        <w:t>Complex responsive processes in organizations: Learning and knowledge creation.</w:t>
      </w:r>
      <w:r w:rsidRPr="009D3E88">
        <w:rPr>
          <w:rFonts w:ascii="Times New Roman" w:hAnsi="Times New Roman" w:cs="Times New Roman"/>
          <w:sz w:val="26"/>
          <w:szCs w:val="26"/>
        </w:rPr>
        <w:t xml:space="preserve"> Routledge.</w:t>
      </w:r>
    </w:p>
    <w:p w14:paraId="62B6C9C3"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Teece, D. J. (2007). Explicating dynamic capabilities: The nature and microfoundations of (sustainable) enterprise performance. </w:t>
      </w:r>
      <w:r w:rsidRPr="009D3E88">
        <w:rPr>
          <w:rFonts w:ascii="Times New Roman" w:hAnsi="Times New Roman" w:cs="Times New Roman"/>
          <w:i/>
          <w:iCs/>
          <w:sz w:val="26"/>
          <w:szCs w:val="26"/>
        </w:rPr>
        <w:t>Strategic Management Journal, 28</w:t>
      </w:r>
      <w:r w:rsidRPr="009D3E88">
        <w:rPr>
          <w:rFonts w:ascii="Times New Roman" w:hAnsi="Times New Roman" w:cs="Times New Roman"/>
          <w:sz w:val="26"/>
          <w:szCs w:val="26"/>
        </w:rPr>
        <w:t>(13), 1319–1350.</w:t>
      </w:r>
    </w:p>
    <w:p w14:paraId="19672086"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Teece, D. J., Pisano, G., &amp; Shuen, A. (1997). Dynamic capabilities and strategic management. </w:t>
      </w:r>
      <w:r w:rsidRPr="009D3E88">
        <w:rPr>
          <w:rFonts w:ascii="Times New Roman" w:hAnsi="Times New Roman" w:cs="Times New Roman"/>
          <w:i/>
          <w:iCs/>
          <w:sz w:val="26"/>
          <w:szCs w:val="26"/>
        </w:rPr>
        <w:t>Strategic Management Journal, 18</w:t>
      </w:r>
      <w:r w:rsidRPr="009D3E88">
        <w:rPr>
          <w:rFonts w:ascii="Times New Roman" w:hAnsi="Times New Roman" w:cs="Times New Roman"/>
          <w:sz w:val="26"/>
          <w:szCs w:val="26"/>
        </w:rPr>
        <w:t>(7), 509–533.</w:t>
      </w:r>
    </w:p>
    <w:p w14:paraId="245770A0"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Tiwana, A. (2014). </w:t>
      </w:r>
      <w:r w:rsidRPr="009D3E88">
        <w:rPr>
          <w:rFonts w:ascii="Times New Roman" w:hAnsi="Times New Roman" w:cs="Times New Roman"/>
          <w:i/>
          <w:iCs/>
          <w:sz w:val="26"/>
          <w:szCs w:val="26"/>
        </w:rPr>
        <w:t>Platform ecosystems: Aligning architecture, governance, and strategy.</w:t>
      </w:r>
      <w:r w:rsidRPr="009D3E88">
        <w:rPr>
          <w:rFonts w:ascii="Times New Roman" w:hAnsi="Times New Roman" w:cs="Times New Roman"/>
          <w:sz w:val="26"/>
          <w:szCs w:val="26"/>
        </w:rPr>
        <w:t xml:space="preserve"> Morgan Kaufmann.</w:t>
      </w:r>
    </w:p>
    <w:p w14:paraId="49886997"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Vial, G. (2019). Understanding digital transformation: A review and a research agenda. </w:t>
      </w:r>
      <w:r w:rsidRPr="009D3E88">
        <w:rPr>
          <w:rFonts w:ascii="Times New Roman" w:hAnsi="Times New Roman" w:cs="Times New Roman"/>
          <w:i/>
          <w:iCs/>
          <w:sz w:val="26"/>
          <w:szCs w:val="26"/>
        </w:rPr>
        <w:t>Journal of Strategic Information Systems, 28</w:t>
      </w:r>
      <w:r w:rsidRPr="009D3E88">
        <w:rPr>
          <w:rFonts w:ascii="Times New Roman" w:hAnsi="Times New Roman" w:cs="Times New Roman"/>
          <w:sz w:val="26"/>
          <w:szCs w:val="26"/>
        </w:rPr>
        <w:t>(2), 118–144.</w:t>
      </w:r>
    </w:p>
    <w:p w14:paraId="114799EE"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Yoo, Y., Boland, R. J., Lyytinen, K., &amp; Majchrzak, A. (2010). Organizing for innovation in the digitized world. </w:t>
      </w:r>
      <w:r w:rsidRPr="009D3E88">
        <w:rPr>
          <w:rFonts w:ascii="Times New Roman" w:hAnsi="Times New Roman" w:cs="Times New Roman"/>
          <w:i/>
          <w:iCs/>
          <w:sz w:val="26"/>
          <w:szCs w:val="26"/>
        </w:rPr>
        <w:t>Organization Science, 21</w:t>
      </w:r>
      <w:r w:rsidRPr="009D3E88">
        <w:rPr>
          <w:rFonts w:ascii="Times New Roman" w:hAnsi="Times New Roman" w:cs="Times New Roman"/>
          <w:sz w:val="26"/>
          <w:szCs w:val="26"/>
        </w:rPr>
        <w:t>(6), 1398–1408.</w:t>
      </w:r>
    </w:p>
    <w:p w14:paraId="02E8EB4C" w14:textId="77777777" w:rsidR="00331D60" w:rsidRPr="009D3E88" w:rsidRDefault="00EF05C5" w:rsidP="005E154F">
      <w:pPr>
        <w:pStyle w:val="BodyText"/>
        <w:numPr>
          <w:ilvl w:val="0"/>
          <w:numId w:val="6"/>
        </w:numPr>
        <w:rPr>
          <w:rFonts w:ascii="Times New Roman" w:hAnsi="Times New Roman" w:cs="Times New Roman"/>
          <w:sz w:val="26"/>
          <w:szCs w:val="26"/>
        </w:rPr>
      </w:pPr>
      <w:r w:rsidRPr="009D3E88">
        <w:rPr>
          <w:rFonts w:ascii="Times New Roman" w:hAnsi="Times New Roman" w:cs="Times New Roman"/>
          <w:sz w:val="26"/>
          <w:szCs w:val="26"/>
        </w:rPr>
        <w:t xml:space="preserve">Zittrain, J. (2006). The generative internet. </w:t>
      </w:r>
      <w:r w:rsidRPr="009D3E88">
        <w:rPr>
          <w:rFonts w:ascii="Times New Roman" w:hAnsi="Times New Roman" w:cs="Times New Roman"/>
          <w:i/>
          <w:iCs/>
          <w:sz w:val="26"/>
          <w:szCs w:val="26"/>
        </w:rPr>
        <w:t>Harvard Law Review, 119</w:t>
      </w:r>
      <w:r w:rsidRPr="009D3E88">
        <w:rPr>
          <w:rFonts w:ascii="Times New Roman" w:hAnsi="Times New Roman" w:cs="Times New Roman"/>
          <w:sz w:val="26"/>
          <w:szCs w:val="26"/>
        </w:rPr>
        <w:t>(7), 1974–2040.</w:t>
      </w:r>
      <w:bookmarkEnd w:id="2"/>
      <w:bookmarkEnd w:id="40"/>
    </w:p>
    <w:sectPr w:rsidR="00331D60" w:rsidRPr="009D3E88">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2AB61" w14:textId="77777777" w:rsidR="00221197" w:rsidRDefault="00221197" w:rsidP="009D3E88">
      <w:pPr>
        <w:spacing w:after="0"/>
      </w:pPr>
      <w:r>
        <w:separator/>
      </w:r>
    </w:p>
  </w:endnote>
  <w:endnote w:type="continuationSeparator" w:id="0">
    <w:p w14:paraId="1DDB527F" w14:textId="77777777" w:rsidR="00221197" w:rsidRDefault="00221197" w:rsidP="009D3E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079233"/>
      <w:docPartObj>
        <w:docPartGallery w:val="Page Numbers (Bottom of Page)"/>
        <w:docPartUnique/>
      </w:docPartObj>
    </w:sdtPr>
    <w:sdtEndPr>
      <w:rPr>
        <w:noProof/>
      </w:rPr>
    </w:sdtEndPr>
    <w:sdtContent>
      <w:p w14:paraId="10895D28" w14:textId="037B62BA" w:rsidR="009D3E88" w:rsidRDefault="009D3E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17D3A7" w14:textId="77777777" w:rsidR="009D3E88" w:rsidRDefault="009D3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B2CF8" w14:textId="77777777" w:rsidR="00221197" w:rsidRDefault="00221197" w:rsidP="009D3E88">
      <w:pPr>
        <w:spacing w:after="0"/>
      </w:pPr>
      <w:r>
        <w:separator/>
      </w:r>
    </w:p>
  </w:footnote>
  <w:footnote w:type="continuationSeparator" w:id="0">
    <w:p w14:paraId="0318C911" w14:textId="77777777" w:rsidR="00221197" w:rsidRDefault="00221197" w:rsidP="009D3E8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992EFF8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DA6E9A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6E94C3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8BD3DD2"/>
    <w:multiLevelType w:val="multilevel"/>
    <w:tmpl w:val="D794EEB8"/>
    <w:lvl w:ilvl="0">
      <w:start w:val="1"/>
      <w:numFmt w:val="bullet"/>
      <w:lvlText w:val="­"/>
      <w:lvlJc w:val="left"/>
      <w:pPr>
        <w:ind w:left="720" w:hanging="360"/>
      </w:pPr>
      <w:rPr>
        <w:rFonts w:hAnsi="Courier New"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4F470DCB"/>
    <w:multiLevelType w:val="hybridMultilevel"/>
    <w:tmpl w:val="8FDA0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0966E3"/>
    <w:multiLevelType w:val="multilevel"/>
    <w:tmpl w:val="AC26A5DC"/>
    <w:lvl w:ilvl="0">
      <w:start w:val="1"/>
      <w:numFmt w:val="bullet"/>
      <w:lvlText w:val="­"/>
      <w:lvlJc w:val="left"/>
      <w:pPr>
        <w:ind w:left="720" w:hanging="360"/>
      </w:pPr>
      <w:rPr>
        <w:rFonts w:hAnsi="Courier New"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1D60"/>
    <w:rsid w:val="00221197"/>
    <w:rsid w:val="00331D60"/>
    <w:rsid w:val="005E154F"/>
    <w:rsid w:val="009D3E88"/>
    <w:rsid w:val="00AA703D"/>
    <w:rsid w:val="00B17D3A"/>
    <w:rsid w:val="00D97525"/>
    <w:rsid w:val="00EF0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7011"/>
  <w15:docId w15:val="{8A43E2EA-EA06-4E9B-80A7-8E080381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vi"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9D3E88"/>
    <w:pPr>
      <w:tabs>
        <w:tab w:val="center" w:pos="4680"/>
        <w:tab w:val="right" w:pos="9360"/>
      </w:tabs>
      <w:spacing w:after="0"/>
    </w:pPr>
  </w:style>
  <w:style w:type="character" w:customStyle="1" w:styleId="HeaderChar">
    <w:name w:val="Header Char"/>
    <w:basedOn w:val="DefaultParagraphFont"/>
    <w:link w:val="Header"/>
    <w:rsid w:val="009D3E88"/>
  </w:style>
  <w:style w:type="paragraph" w:styleId="Footer">
    <w:name w:val="footer"/>
    <w:basedOn w:val="Normal"/>
    <w:link w:val="FooterChar"/>
    <w:uiPriority w:val="99"/>
    <w:unhideWhenUsed/>
    <w:rsid w:val="009D3E88"/>
    <w:pPr>
      <w:tabs>
        <w:tab w:val="center" w:pos="4680"/>
        <w:tab w:val="right" w:pos="9360"/>
      </w:tabs>
      <w:spacing w:after="0"/>
    </w:pPr>
  </w:style>
  <w:style w:type="character" w:customStyle="1" w:styleId="FooterChar">
    <w:name w:val="Footer Char"/>
    <w:basedOn w:val="DefaultParagraphFont"/>
    <w:link w:val="Footer"/>
    <w:uiPriority w:val="99"/>
    <w:rsid w:val="009D3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1458</TotalTime>
  <Pages>16</Pages>
  <Words>5372</Words>
  <Characters>30622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Administrator</cp:lastModifiedBy>
  <cp:revision>4</cp:revision>
  <dcterms:created xsi:type="dcterms:W3CDTF">2026-06-08T06:03:00Z</dcterms:created>
  <dcterms:modified xsi:type="dcterms:W3CDTF">2026-06-27T10:13:00Z</dcterms:modified>
</cp:coreProperties>
</file>