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X="-147" w:tblpY="-312"/>
        <w:tblW w:w="10201" w:type="dxa"/>
        <w:tblLayout w:type="fixed"/>
        <w:tblLook w:val="0400" w:firstRow="0" w:lastRow="0" w:firstColumn="0" w:lastColumn="0" w:noHBand="0" w:noVBand="1"/>
      </w:tblPr>
      <w:tblGrid>
        <w:gridCol w:w="4159"/>
        <w:gridCol w:w="6042"/>
      </w:tblGrid>
      <w:tr w:rsidR="00B1250F" w:rsidRPr="006B2549" w:rsidTr="006E1BFF">
        <w:tc>
          <w:tcPr>
            <w:tcW w:w="4159" w:type="dxa"/>
          </w:tcPr>
          <w:p w:rsidR="00B1250F" w:rsidRPr="006B2549" w:rsidRDefault="00B1250F" w:rsidP="006E1BFF">
            <w:pPr>
              <w:spacing w:line="276" w:lineRule="auto"/>
              <w:ind w:firstLine="284"/>
              <w:jc w:val="both"/>
            </w:pPr>
            <w:r w:rsidRPr="006B2549">
              <w:t>KHOA KINH TẾ VÀ QUẢN LÝ</w:t>
            </w:r>
          </w:p>
          <w:p w:rsidR="00B1250F" w:rsidRPr="006B2549" w:rsidRDefault="00B1250F" w:rsidP="006E1BFF">
            <w:pPr>
              <w:spacing w:line="276" w:lineRule="auto"/>
              <w:ind w:firstLine="284"/>
              <w:jc w:val="both"/>
              <w:rPr>
                <w:lang w:val="fr-FR"/>
              </w:rPr>
            </w:pPr>
            <w:r w:rsidRPr="006B2549">
              <w:rPr>
                <w:b/>
                <w:lang w:val="fr-FR"/>
              </w:rPr>
              <w:t>BỘ MÔN QUẢN TRỊ DU LỊCH</w:t>
            </w:r>
          </w:p>
        </w:tc>
        <w:tc>
          <w:tcPr>
            <w:tcW w:w="6042" w:type="dxa"/>
          </w:tcPr>
          <w:p w:rsidR="00B1250F" w:rsidRPr="006B2549" w:rsidRDefault="00B1250F" w:rsidP="006E1BFF">
            <w:pPr>
              <w:spacing w:line="276" w:lineRule="auto"/>
              <w:ind w:firstLine="284"/>
              <w:jc w:val="center"/>
              <w:rPr>
                <w:b/>
                <w:lang w:val="fr-FR"/>
              </w:rPr>
            </w:pPr>
            <w:r w:rsidRPr="006B2549">
              <w:rPr>
                <w:b/>
                <w:lang w:val="fr-FR"/>
              </w:rPr>
              <w:t>CỘNG HÒA XÃ HỘI CHỦ NGHĨA VIỆT NAM</w:t>
            </w:r>
          </w:p>
          <w:p w:rsidR="00B1250F" w:rsidRPr="006B2549" w:rsidRDefault="00B1250F" w:rsidP="006E1BFF">
            <w:pPr>
              <w:spacing w:line="276" w:lineRule="auto"/>
              <w:ind w:firstLine="284"/>
              <w:jc w:val="center"/>
              <w:rPr>
                <w:b/>
              </w:rPr>
            </w:pPr>
            <w:r w:rsidRPr="006B2549">
              <w:t>Độc lập - Tự do - Hạnh phúc</w:t>
            </w:r>
          </w:p>
        </w:tc>
      </w:tr>
    </w:tbl>
    <w:p w:rsidR="00B1250F" w:rsidRPr="006B2549" w:rsidRDefault="00B1250F" w:rsidP="00B1250F">
      <w:pPr>
        <w:spacing w:line="276" w:lineRule="auto"/>
        <w:jc w:val="both"/>
        <w:rPr>
          <w:lang w:val="vi-VN"/>
        </w:rPr>
      </w:pPr>
    </w:p>
    <w:p w:rsidR="00B1250F" w:rsidRPr="006B2549" w:rsidRDefault="00B1250F" w:rsidP="00B1250F">
      <w:pPr>
        <w:spacing w:line="276" w:lineRule="auto"/>
        <w:ind w:firstLine="284"/>
        <w:jc w:val="both"/>
        <w:rPr>
          <w:b/>
        </w:rPr>
      </w:pPr>
    </w:p>
    <w:p w:rsidR="00B1250F" w:rsidRPr="006B2549" w:rsidRDefault="00B1250F" w:rsidP="00B1250F">
      <w:pPr>
        <w:spacing w:line="276" w:lineRule="auto"/>
        <w:ind w:firstLine="284"/>
        <w:jc w:val="center"/>
        <w:rPr>
          <w:b/>
        </w:rPr>
      </w:pPr>
      <w:r w:rsidRPr="006B2549">
        <w:rPr>
          <w:b/>
        </w:rPr>
        <w:t>BÁO CÁO SINH HOẠT KHOA HỌC</w:t>
      </w:r>
    </w:p>
    <w:p w:rsidR="00B1250F" w:rsidRPr="006B2549" w:rsidRDefault="00B1250F" w:rsidP="00B1250F">
      <w:pPr>
        <w:spacing w:line="276" w:lineRule="auto"/>
        <w:ind w:firstLine="284"/>
        <w:jc w:val="center"/>
        <w:rPr>
          <w:b/>
          <w:lang w:val="vi-VN"/>
        </w:rPr>
      </w:pPr>
      <w:r w:rsidRPr="006B2549">
        <w:rPr>
          <w:b/>
        </w:rPr>
        <w:t>NĂM HỌC 202</w:t>
      </w:r>
      <w:r>
        <w:rPr>
          <w:b/>
          <w:lang w:val="vi-VN"/>
        </w:rPr>
        <w:t>5</w:t>
      </w:r>
      <w:r w:rsidRPr="006B2549">
        <w:rPr>
          <w:b/>
        </w:rPr>
        <w:t>-202</w:t>
      </w:r>
      <w:r>
        <w:rPr>
          <w:b/>
          <w:lang w:val="vi-VN"/>
        </w:rPr>
        <w:t>6</w:t>
      </w:r>
    </w:p>
    <w:p w:rsidR="00B1250F" w:rsidRDefault="00B1250F" w:rsidP="00B1250F">
      <w:pPr>
        <w:spacing w:line="276" w:lineRule="auto"/>
        <w:ind w:firstLine="284"/>
        <w:jc w:val="both"/>
        <w:rPr>
          <w:b/>
        </w:rPr>
      </w:pPr>
    </w:p>
    <w:p w:rsidR="00B1250F" w:rsidRPr="008C08D3" w:rsidRDefault="00B1250F" w:rsidP="00B1250F">
      <w:pPr>
        <w:spacing w:line="276" w:lineRule="auto"/>
        <w:ind w:firstLine="284"/>
        <w:jc w:val="both"/>
        <w:rPr>
          <w:sz w:val="28"/>
          <w:szCs w:val="28"/>
          <w:lang w:val="vi-VN"/>
        </w:rPr>
      </w:pPr>
      <w:r w:rsidRPr="008C08D3">
        <w:rPr>
          <w:b/>
          <w:sz w:val="28"/>
          <w:szCs w:val="28"/>
        </w:rPr>
        <w:t xml:space="preserve">Người báo cáo: </w:t>
      </w:r>
      <w:r w:rsidRPr="008C08D3">
        <w:rPr>
          <w:b/>
          <w:sz w:val="28"/>
          <w:szCs w:val="28"/>
        </w:rPr>
        <w:tab/>
        <w:t>TS</w:t>
      </w:r>
      <w:r w:rsidRPr="008C08D3">
        <w:rPr>
          <w:b/>
          <w:sz w:val="28"/>
          <w:szCs w:val="28"/>
          <w:lang w:val="vi-VN"/>
        </w:rPr>
        <w:t>. Lê Mạnh Hùng</w:t>
      </w:r>
    </w:p>
    <w:p w:rsidR="00B1250F" w:rsidRPr="008C08D3" w:rsidRDefault="00B1250F" w:rsidP="00B1250F">
      <w:pPr>
        <w:spacing w:line="276" w:lineRule="auto"/>
        <w:ind w:firstLine="284"/>
        <w:jc w:val="both"/>
        <w:rPr>
          <w:b/>
          <w:sz w:val="28"/>
          <w:szCs w:val="28"/>
        </w:rPr>
      </w:pPr>
    </w:p>
    <w:p w:rsidR="00B1250F" w:rsidRPr="008C08D3" w:rsidRDefault="00B1250F" w:rsidP="00B1250F">
      <w:pPr>
        <w:spacing w:line="276" w:lineRule="auto"/>
        <w:ind w:firstLine="284"/>
        <w:jc w:val="both"/>
        <w:rPr>
          <w:sz w:val="28"/>
          <w:szCs w:val="28"/>
        </w:rPr>
      </w:pPr>
      <w:r w:rsidRPr="008C08D3">
        <w:rPr>
          <w:b/>
          <w:sz w:val="28"/>
          <w:szCs w:val="28"/>
        </w:rPr>
        <w:t xml:space="preserve">Đơn vị: </w:t>
      </w:r>
      <w:r w:rsidRPr="008C08D3">
        <w:rPr>
          <w:b/>
          <w:sz w:val="28"/>
          <w:szCs w:val="28"/>
          <w:lang w:val="vi-VN"/>
        </w:rPr>
        <w:t xml:space="preserve"> </w:t>
      </w:r>
      <w:r w:rsidRPr="008C08D3">
        <w:rPr>
          <w:sz w:val="28"/>
          <w:szCs w:val="28"/>
        </w:rPr>
        <w:t>Bộ môn Quản trị Du lịch, Khoa Kinh tế và Quản lý</w:t>
      </w:r>
    </w:p>
    <w:p w:rsidR="00B1250F" w:rsidRPr="008C08D3" w:rsidRDefault="00B1250F" w:rsidP="00B1250F">
      <w:pPr>
        <w:spacing w:line="276" w:lineRule="auto"/>
        <w:ind w:firstLine="284"/>
        <w:jc w:val="both"/>
        <w:rPr>
          <w:b/>
          <w:sz w:val="28"/>
          <w:szCs w:val="28"/>
        </w:rPr>
      </w:pPr>
    </w:p>
    <w:p w:rsidR="00B1250F" w:rsidRPr="006B2549" w:rsidRDefault="00B1250F" w:rsidP="00B1250F">
      <w:pPr>
        <w:spacing w:line="276" w:lineRule="auto"/>
        <w:ind w:firstLine="284"/>
        <w:jc w:val="both"/>
        <w:rPr>
          <w:b/>
        </w:rPr>
      </w:pPr>
      <w:r w:rsidRPr="008C08D3">
        <w:rPr>
          <w:b/>
          <w:sz w:val="28"/>
          <w:szCs w:val="28"/>
        </w:rPr>
        <w:t xml:space="preserve">Tên báo cáo: </w:t>
      </w:r>
      <w:r w:rsidRPr="008C08D3">
        <w:rPr>
          <w:b/>
          <w:sz w:val="28"/>
          <w:szCs w:val="28"/>
        </w:rPr>
        <w:tab/>
      </w:r>
      <w:r w:rsidRPr="006B2549">
        <w:rPr>
          <w:b/>
        </w:rPr>
        <w:tab/>
      </w:r>
    </w:p>
    <w:p w:rsidR="00B1250F" w:rsidRDefault="00B1250F" w:rsidP="00B1250F">
      <w:pPr>
        <w:spacing w:after="200"/>
        <w:rPr>
          <w:b/>
          <w:bCs/>
          <w:sz w:val="28"/>
          <w:szCs w:val="28"/>
        </w:rPr>
      </w:pPr>
    </w:p>
    <w:p w:rsidR="00D47E56" w:rsidRDefault="00000000">
      <w:pPr>
        <w:spacing w:after="200"/>
        <w:jc w:val="center"/>
      </w:pPr>
      <w:r>
        <w:rPr>
          <w:b/>
          <w:bCs/>
          <w:sz w:val="28"/>
          <w:szCs w:val="28"/>
        </w:rPr>
        <w:t>PHÁT TRIỂN DU LỊCH XANH: MỘT SỐ MÔ HÌNH LÝ THUYẾT VÀ KHẢ NĂNG ỨNG DỤNG TẠI TỈNH THANH HÓA</w:t>
      </w:r>
    </w:p>
    <w:p w:rsidR="00D47E56" w:rsidRPr="00034577" w:rsidRDefault="00000000" w:rsidP="00034577">
      <w:pPr>
        <w:pStyle w:val="Heading2"/>
        <w:spacing w:before="0" w:after="0" w:line="400" w:lineRule="atLeast"/>
      </w:pPr>
      <w:r w:rsidRPr="00034577">
        <w:t>TÓM TẮT</w:t>
      </w:r>
    </w:p>
    <w:p w:rsidR="00D47E56" w:rsidRPr="00034577" w:rsidRDefault="00000000" w:rsidP="00034577">
      <w:pPr>
        <w:spacing w:line="400" w:lineRule="atLeast"/>
        <w:ind w:firstLine="567"/>
        <w:jc w:val="both"/>
      </w:pPr>
      <w:r w:rsidRPr="00034577">
        <w:t>Du lịch xanh ngày càng trở thành xu hướng tất yếu trong bối cảnh biến đổi khí hậu và yêu cầu phát triển bền vững toàn cầu. Bài viết tổng quan ba mô hình lý thuyết du lịch xanh phù hợp với điều kiện Việt Nam: mô hình du lịch không rác thải, mô hình khách sạn xanh và mô hình du lịch cộng đồng gắn với bảo tồn. Trên cơ sở phân tích đặc điểm tài nguyên du lịch và hiện trạng phát triển của tỉnh Thanh Hóa, bài viết đánh giá khả năng ứng dụng của từng mô hình và đề xuất định hướng xây dựng mô hình du lịch không rác thải tại Di tích quốc gia đặc biệt Lam Kinh như một điểm thí điểm chiến lược. Cách tiếp cận của bài viết nhấn mạnh vai trò trung tâm của chuyển đổi hành vi và đổi mới quản trị điểm đến, thay vì chỉ tập trung vào các giải pháp kỹ thuật đơn thuần.</w:t>
      </w:r>
    </w:p>
    <w:p w:rsidR="00D47E56" w:rsidRPr="00034577" w:rsidRDefault="00000000" w:rsidP="00034577">
      <w:pPr>
        <w:spacing w:line="400" w:lineRule="atLeast"/>
        <w:jc w:val="both"/>
      </w:pPr>
      <w:r w:rsidRPr="00034577">
        <w:rPr>
          <w:b/>
          <w:bCs/>
        </w:rPr>
        <w:t xml:space="preserve">Từ khóa: </w:t>
      </w:r>
      <w:r w:rsidRPr="00034577">
        <w:t>du lịch xanh, mô hình du lịch không rác thải, khách sạn xanh, du lịch cộng đồng, Lam Kinh, Thanh Hóa.</w:t>
      </w:r>
    </w:p>
    <w:p w:rsidR="00D47E56" w:rsidRPr="00034577" w:rsidRDefault="00000000" w:rsidP="00034577">
      <w:pPr>
        <w:pStyle w:val="Heading1"/>
        <w:spacing w:before="0" w:after="0" w:line="400" w:lineRule="atLeast"/>
        <w:rPr>
          <w:sz w:val="26"/>
          <w:szCs w:val="26"/>
        </w:rPr>
      </w:pPr>
      <w:r w:rsidRPr="00034577">
        <w:rPr>
          <w:sz w:val="26"/>
          <w:szCs w:val="26"/>
        </w:rPr>
        <w:t>1. ĐẶT VẤN ĐỀ</w:t>
      </w:r>
    </w:p>
    <w:p w:rsidR="00D47E56" w:rsidRPr="00034577" w:rsidRDefault="00000000" w:rsidP="00034577">
      <w:pPr>
        <w:pStyle w:val="Heading2"/>
        <w:spacing w:before="0" w:after="0" w:line="400" w:lineRule="atLeast"/>
      </w:pPr>
      <w:r w:rsidRPr="00034577">
        <w:t>1.1. Bối cảnh phát triển du lịch xanh trên thế giới và Việt Nam</w:t>
      </w:r>
    </w:p>
    <w:p w:rsidR="00D47E56" w:rsidRPr="00034577" w:rsidRDefault="00000000" w:rsidP="00034577">
      <w:pPr>
        <w:spacing w:line="400" w:lineRule="atLeast"/>
        <w:ind w:firstLine="720"/>
        <w:jc w:val="both"/>
      </w:pPr>
      <w:r w:rsidRPr="00034577">
        <w:t>Những thập niên đầu thế kỷ XXI chứng kiến sự chuyển dịch mạnh mẽ trong quan niệm và thực tiễn phát triển ngành du lịch toàn cầu. Từ mô hình tăng trưởng theo lượng</w:t>
      </w:r>
      <w:r w:rsidR="00034577" w:rsidRPr="00034577">
        <w:t>,</w:t>
      </w:r>
      <w:r w:rsidRPr="00034577">
        <w:t xml:space="preserve"> tập trung vào số lượt khách và doanh thu thuần túy</w:t>
      </w:r>
      <w:r w:rsidR="00034577" w:rsidRPr="00034577">
        <w:t>,</w:t>
      </w:r>
      <w:r w:rsidRPr="00034577">
        <w:t xml:space="preserve"> ngành du lịch đang dần hướng đến mô hình tăng trưởng theo chất, lấy bền vững môi trường và trách nhiệm xã hội làm trục trung tâm. Xu hướng này không phải là lựa chọn tự nguyện mà là đáp ứng trực tiếp trước các áp lực toàn cầu: biến đổi khí hậu, suy giảm đa dạng sinh học, cạn kiệt tài nguyên và ô nhiễm môi trường tại các điểm đến.</w:t>
      </w:r>
    </w:p>
    <w:p w:rsidR="00D47E56" w:rsidRPr="00034577" w:rsidRDefault="00000000" w:rsidP="00034577">
      <w:pPr>
        <w:spacing w:line="400" w:lineRule="atLeast"/>
        <w:ind w:firstLine="720"/>
        <w:jc w:val="both"/>
      </w:pPr>
      <w:r w:rsidRPr="00034577">
        <w:lastRenderedPageBreak/>
        <w:t>Chương trình Nghị sự 2030 vì sự Phát triển Bền vững của Liên Hợp Quốc, đặc biệt mục tiêu SDG 12 (</w:t>
      </w:r>
      <w:r w:rsidR="00E15759">
        <w:t>Sustainable Development Goals</w:t>
      </w:r>
      <w:r w:rsidR="00E15759">
        <w:rPr>
          <w:lang w:val="vi-VN"/>
        </w:rPr>
        <w:t xml:space="preserve">, mục tiêu thứ 12 là: </w:t>
      </w:r>
      <w:r w:rsidRPr="00034577">
        <w:t xml:space="preserve">tiêu dùng và sản xuất có trách nhiệm) và SDG 13 (hành động vì khí hậu), đã cung cấp khuôn khổ chính sách quan trọng thúc đẩy chuyển đổi xanh trong du lịch. Tổ chức Du lịch Thế giới (UNWTO) </w:t>
      </w:r>
      <w:r w:rsidR="00E15759">
        <w:t>nay</w:t>
      </w:r>
      <w:r w:rsidR="00E15759">
        <w:rPr>
          <w:lang w:val="vi-VN"/>
        </w:rPr>
        <w:t xml:space="preserve"> là </w:t>
      </w:r>
      <w:r w:rsidR="00E15759" w:rsidRPr="00E15759">
        <w:t>Tổ chức Du lịch Liên Hợp Quốc (UN Tourism)</w:t>
      </w:r>
      <w:r w:rsidR="00E15759">
        <w:rPr>
          <w:lang w:val="vi-VN"/>
        </w:rPr>
        <w:t xml:space="preserve"> </w:t>
      </w:r>
      <w:r w:rsidRPr="00034577">
        <w:t>trong Chương trình Phát triển Du lịch Bền vững giai đoạn 2030 cũng xác định du lịch xanh là một trong những ưu tiên chiến lược hàng đầu. Bên cạnh đó, Thỏa thuận Paris về biến đổi khí hậu và các cam kết net</w:t>
      </w:r>
      <w:r w:rsidR="00E15759">
        <w:rPr>
          <w:lang w:val="vi-VN"/>
        </w:rPr>
        <w:t xml:space="preserve"> </w:t>
      </w:r>
      <w:r w:rsidRPr="00034577">
        <w:t>zero của nhiều quốc gia đang buộc ngành du lịch phải tái cấu trúc mô hình vận hành theo hướng giảm phát thải carbon và sử dụng hiệu quả tài nguyên.</w:t>
      </w:r>
    </w:p>
    <w:p w:rsidR="00D47E56" w:rsidRPr="00034577" w:rsidRDefault="00000000" w:rsidP="00034577">
      <w:pPr>
        <w:spacing w:line="400" w:lineRule="atLeast"/>
        <w:ind w:firstLine="720"/>
        <w:jc w:val="both"/>
      </w:pPr>
      <w:r w:rsidRPr="00034577">
        <w:t>Tại Việt Nam, Chiến lược phát triển du lịch Việt Nam đến năm 2030 (Quyết định 147/QĐ</w:t>
      </w:r>
      <w:r w:rsidR="00AA33F2">
        <w:rPr>
          <w:lang w:val="vi-VN"/>
        </w:rPr>
        <w:t xml:space="preserve"> </w:t>
      </w:r>
      <w:r w:rsidRPr="00034577">
        <w:t>TTg) đã xác định phát triển du lịch xanh, bền vững là định hướng xuyên suốt. Nghị quyết 36</w:t>
      </w:r>
      <w:r w:rsidR="00AA33F2">
        <w:rPr>
          <w:lang w:val="vi-VN"/>
        </w:rPr>
        <w:t xml:space="preserve"> </w:t>
      </w:r>
      <w:r w:rsidRPr="00034577">
        <w:t>NQ/TW về Chiến lược phát triển bền vững kinh tế biển, Kế hoạch hành động tăng trưởng xanh giai đoạn 2021</w:t>
      </w:r>
      <w:r w:rsidR="00034577" w:rsidRPr="00034577">
        <w:t>,</w:t>
      </w:r>
      <w:r w:rsidR="00AA33F2">
        <w:rPr>
          <w:lang w:val="vi-VN"/>
        </w:rPr>
        <w:t xml:space="preserve"> </w:t>
      </w:r>
      <w:r w:rsidRPr="00034577">
        <w:t>2030 và nhiều văn bản chính sách khác cũng nhấn mạnh yêu cầu chuyển đổi xanh trong phát triển du lịch, đặc biệt tại các vùng ven biển và khu vực có hệ sinh thái nhạy cảm.</w:t>
      </w:r>
    </w:p>
    <w:p w:rsidR="00D47E56" w:rsidRPr="00034577" w:rsidRDefault="00000000" w:rsidP="00034577">
      <w:pPr>
        <w:pStyle w:val="Heading2"/>
        <w:spacing w:before="0" w:after="0" w:line="400" w:lineRule="atLeast"/>
      </w:pPr>
      <w:r w:rsidRPr="00034577">
        <w:t>1.2. Những thách thức đặt ra đối với phát triển du lịch hiện nay</w:t>
      </w:r>
    </w:p>
    <w:p w:rsidR="00D47E56" w:rsidRPr="00034577" w:rsidRDefault="00000000" w:rsidP="00034577">
      <w:pPr>
        <w:spacing w:line="400" w:lineRule="atLeast"/>
        <w:ind w:firstLine="720"/>
        <w:jc w:val="both"/>
      </w:pPr>
      <w:r w:rsidRPr="00034577">
        <w:t>Mặc dù khung chính sách về du lịch xanh ngày càng hoàn thiện, thực tiễn phát triển du lịch tại Việt Nam vẫn bộc lộ nhiều mâu thuẫn nội tại. Thứ nhất, ô nhiễm môi trường tại các điểm đến du lịch trọng điểm ngày càng nghiêm trọng: rác thải nhựa tại các bãi biển, nước thải chưa qua xử lý tại các khu du lịch sinh thái, và tiếng ồn tại các di tích lịch sử văn hóa đang làm suy giảm chất lượng trải nghiệm du lịch và tổn hại tài nguyên không thể phục hồi.</w:t>
      </w:r>
    </w:p>
    <w:p w:rsidR="00D47E56" w:rsidRPr="00034577" w:rsidRDefault="00000000" w:rsidP="00034577">
      <w:pPr>
        <w:spacing w:line="400" w:lineRule="atLeast"/>
        <w:ind w:firstLine="720"/>
        <w:jc w:val="both"/>
      </w:pPr>
      <w:r w:rsidRPr="00034577">
        <w:t xml:space="preserve">Thứ hai, rác thải du lịch là một trong những vấn đề cấp bách nhất. Theo ước tính, một </w:t>
      </w:r>
      <w:r w:rsidR="00034577" w:rsidRPr="00034577">
        <w:t>khách du lịch</w:t>
      </w:r>
      <w:r w:rsidRPr="00034577">
        <w:t xml:space="preserve"> trung bình tạo ra lượng rác thải cao hơn gấp đôi so với người dân địa phương trong cùng khoảng thời gian. Tại các điểm đến biển như Hạ Long, Đà Nẵng hay Nha Trang, lượng rác thải tăng đột biến vào mùa cao điểm đang vượt quá khả năng xử lý của hệ thống hạ tầng hiện có. Thứ ba, sức ép lên tài nguyên thiên nhiên và di sản văn hóa ngày càng tăng. Lượng khách quá tải tại các di sản thế giới như Phong Nha </w:t>
      </w:r>
      <w:r w:rsidR="00034577" w:rsidRPr="00034577">
        <w:t>,</w:t>
      </w:r>
      <w:r w:rsidRPr="00034577">
        <w:t xml:space="preserve"> Kẻ Bàng, Hội An hay Hạ Long không chỉ ảnh hưởng đến chất lượng trải nghiệm mà còn đe dọa trực tiếp đến tính toàn vẹn của tài nguyên.</w:t>
      </w:r>
    </w:p>
    <w:p w:rsidR="00D47E56" w:rsidRPr="00034577" w:rsidRDefault="00000000" w:rsidP="00034577">
      <w:pPr>
        <w:spacing w:line="400" w:lineRule="atLeast"/>
        <w:ind w:firstLine="720"/>
        <w:jc w:val="both"/>
      </w:pPr>
      <w:r w:rsidRPr="00034577">
        <w:t xml:space="preserve">Thứ tư, mâu thuẫn giữa tăng trưởng du lịch và bảo tồn ngày càng trở nên gay gắt. Nhiều địa phương đang đứng trước lựa chọn khó khăn: khai thác tài nguyên để phát triển kinh tế ngắn hạn hay bảo tồn để duy trì sức hút du lịch lâu dài. Đây là thách thức </w:t>
      </w:r>
      <w:r w:rsidRPr="00034577">
        <w:lastRenderedPageBreak/>
        <w:t>có tính hệ thống, đòi hỏi không chỉ giải pháp kỹ thuật mà còn cần thay đổi căn bản trong tư duy quản trị điểm đến.</w:t>
      </w:r>
    </w:p>
    <w:p w:rsidR="00D47E56" w:rsidRPr="00034577" w:rsidRDefault="00000000" w:rsidP="00034577">
      <w:pPr>
        <w:pStyle w:val="Heading2"/>
        <w:spacing w:before="0" w:after="0" w:line="400" w:lineRule="atLeast"/>
      </w:pPr>
      <w:r w:rsidRPr="00034577">
        <w:t>1.3. Sự cần thiết nghiên cứu các mô hình du lịch xanh tại Thanh Hóa</w:t>
      </w:r>
    </w:p>
    <w:p w:rsidR="00D47E56" w:rsidRPr="00034577" w:rsidRDefault="00000000" w:rsidP="00034577">
      <w:pPr>
        <w:spacing w:line="400" w:lineRule="atLeast"/>
        <w:ind w:firstLine="720"/>
        <w:jc w:val="both"/>
      </w:pPr>
      <w:r w:rsidRPr="00034577">
        <w:t>Thanh Hóa là tỉnh có tiềm năng du lịch lớn nhưng cũng đang đối mặt với nhiều áp lực phát triển. Với vị trí địa lý thuận lợi</w:t>
      </w:r>
      <w:r w:rsidR="00034577" w:rsidRPr="00034577">
        <w:t>,</w:t>
      </w:r>
      <w:r w:rsidRPr="00034577">
        <w:t xml:space="preserve"> cầu nối giữa miền Bắc và Bắc Trung Bộ </w:t>
      </w:r>
      <w:r w:rsidR="00034577" w:rsidRPr="00034577">
        <w:t>,</w:t>
      </w:r>
      <w:r w:rsidRPr="00034577">
        <w:t xml:space="preserve"> Thanh Hóa sở hữu hệ thống tài nguyên du lịch đa dạng: du lịch biển (Sầm Sơn, Hải Tiến), du lịch sinh thái núi rừng (Pù Luông, Bến En), du lịch văn hóa </w:t>
      </w:r>
      <w:r w:rsidR="00034577" w:rsidRPr="00034577">
        <w:t>,</w:t>
      </w:r>
      <w:r w:rsidRPr="00034577">
        <w:t xml:space="preserve"> lịch sử (Lam Kinh, Thành Nhà Hồ) và du lịch cộng đồng tại các khu vực dân tộc thiểu số (Quan Hóa, Bá Thước, Lang Chánh).</w:t>
      </w:r>
    </w:p>
    <w:p w:rsidR="00D47E56" w:rsidRPr="00034577" w:rsidRDefault="00000000" w:rsidP="00034577">
      <w:pPr>
        <w:spacing w:line="400" w:lineRule="atLeast"/>
        <w:ind w:firstLine="720"/>
        <w:jc w:val="both"/>
      </w:pPr>
      <w:r w:rsidRPr="00034577">
        <w:t>Tuy nhiên, sự phát triển thiếu đồng bộ và chú trọng quá mức vào tăng trưởng theo lượng đang để lại những hệ lụy rõ ràng: môi trường biển Sầm Sơn bị áp lực lớn vào mùa hè, cảnh quan tự nhiên tại một số khu du lịch sinh thái bị xâm hại, và bản sắc văn hóa tại các điểm du lịch cộng đồng đang đứng trước nguy cơ thương mại hóa. Trong bối cảnh đó, việc nghiên cứu và xây dựng các mô hình du lịch xanh phù hợp với đặc thù của từng loại tài nguyên và từng cộng đồng địa phương tại Thanh Hóa trở thành yêu cầu cấp thiết và có giá trị thực tiễn cao.</w:t>
      </w:r>
    </w:p>
    <w:p w:rsidR="00D47E56" w:rsidRPr="00034577" w:rsidRDefault="00000000" w:rsidP="00034577">
      <w:pPr>
        <w:pStyle w:val="Heading2"/>
        <w:spacing w:before="0" w:after="0" w:line="400" w:lineRule="atLeast"/>
      </w:pPr>
      <w:r w:rsidRPr="00034577">
        <w:t>1.4. Mục tiêu bài viết</w:t>
      </w:r>
    </w:p>
    <w:p w:rsidR="00D47E56" w:rsidRPr="00034577" w:rsidRDefault="00000000" w:rsidP="00034577">
      <w:pPr>
        <w:spacing w:line="400" w:lineRule="atLeast"/>
        <w:ind w:firstLine="720"/>
        <w:jc w:val="both"/>
      </w:pPr>
      <w:r w:rsidRPr="00034577">
        <w:t>Bài viết này hướng đến bốn mục tiêu cụ thể: (1) Xây dựng khung lý luận về du lịch xanh với cách tiếp cận chuyển đổi hành vi và đổi mới quản trị; (2) Tổng quan và phân tích ba mô hình lý thuyết du lịch xanh phù hợp với điều kiện Việt Nam; (3) Đánh giá khả năng ứng dụng các mô hình tại tỉnh Thanh Hóa; (4) Đề xuất định hướng xây dựng mô hình du lịch không rác thải thí điểm tại Di tích quốc gia đặc biệt Lam Kinh.</w:t>
      </w:r>
    </w:p>
    <w:p w:rsidR="00D47E56" w:rsidRPr="00034577" w:rsidRDefault="00000000" w:rsidP="00034577">
      <w:pPr>
        <w:pStyle w:val="Heading1"/>
        <w:spacing w:before="0" w:after="0" w:line="400" w:lineRule="atLeast"/>
        <w:rPr>
          <w:sz w:val="26"/>
          <w:szCs w:val="26"/>
        </w:rPr>
      </w:pPr>
      <w:r w:rsidRPr="00034577">
        <w:rPr>
          <w:sz w:val="26"/>
          <w:szCs w:val="26"/>
        </w:rPr>
        <w:t>2. CƠ SỞ LÝ LUẬN VỀ DU LỊCH XANH</w:t>
      </w:r>
    </w:p>
    <w:p w:rsidR="00D47E56" w:rsidRPr="00034577" w:rsidRDefault="00000000" w:rsidP="00034577">
      <w:pPr>
        <w:pStyle w:val="Heading2"/>
        <w:spacing w:before="0" w:after="0" w:line="400" w:lineRule="atLeast"/>
      </w:pPr>
      <w:r w:rsidRPr="00034577">
        <w:t>2.1. Khái niệm và đặc trưng của du lịch xanh</w:t>
      </w:r>
    </w:p>
    <w:p w:rsidR="00D47E56" w:rsidRPr="00034577" w:rsidRDefault="00000000" w:rsidP="00034577">
      <w:pPr>
        <w:spacing w:line="400" w:lineRule="atLeast"/>
        <w:ind w:firstLine="720"/>
        <w:jc w:val="both"/>
      </w:pPr>
      <w:r w:rsidRPr="00034577">
        <w:t>Khái niệm "du lịch xanh" (green tourism) xuất hiện từ những năm 1980</w:t>
      </w:r>
      <w:r w:rsidR="00034577" w:rsidRPr="00034577">
        <w:t>,</w:t>
      </w:r>
      <w:r w:rsidRPr="00034577">
        <w:t>1990, ban đầu gắn liền với phong trào du lịch sinh thái (ecotourism) và du lịch có trách nhiệm (responsible tourism). Tuy nhiên, qua quá trình phát triển, du lịch xanh đã dần được xác định như một khái niệm rộng hơn, bao hàm không chỉ khía cạnh sinh thái mà còn toàn bộ các thực hành giảm thiểu tác động môi trường trong hoạt động du lịch.</w:t>
      </w:r>
    </w:p>
    <w:p w:rsidR="00D47E56" w:rsidRPr="00034577" w:rsidRDefault="00000000" w:rsidP="00034577">
      <w:pPr>
        <w:spacing w:line="400" w:lineRule="atLeast"/>
        <w:ind w:firstLine="720"/>
        <w:jc w:val="both"/>
      </w:pPr>
      <w:r w:rsidRPr="00034577">
        <w:t xml:space="preserve">Tổ chức Du lịch Thế giới (UNWTO, 2012) định nghĩa du lịch xanh là "du lịch có đầy đủ trách nhiệm về môi trường và xã hội, hỗ trợ phúc lợi của người dân địa phương và liên quan đến giáo dục và diễn giải môi trường". Định nghĩa này nhấn mạnh ba chiều cạnh: trách nhiệm môi trường, trách nhiệm xã hội và giáo dục ý thức. Trong </w:t>
      </w:r>
      <w:r w:rsidRPr="00034577">
        <w:lastRenderedPageBreak/>
        <w:t>khi đó, Chương trình Môi trường Liên Hợp Quốc (UNEP) nhấn mạnh thêm tiêu chí sử dụng hiệu quả tài nguyên và chủ động thích ứng với biến đổi khí hậu.</w:t>
      </w:r>
    </w:p>
    <w:p w:rsidR="00D47E56" w:rsidRPr="00034577" w:rsidRDefault="00000000" w:rsidP="00034577">
      <w:pPr>
        <w:spacing w:line="400" w:lineRule="atLeast"/>
        <w:ind w:firstLine="720"/>
        <w:jc w:val="both"/>
      </w:pPr>
      <w:r w:rsidRPr="00034577">
        <w:t>Từ các định nghĩa trên, có thể xác định bốn đặc trưng cơ bản của du lịch xanh: (1) Tối thiểu hóa tác động tiêu cực đến môi trường tự nhiên; (2) Đóng góp tích cực vào bảo tồn đa dạng sinh học và hệ sinh thái; (3) Tạo ra lợi ích kinh tế</w:t>
      </w:r>
      <w:r w:rsidR="00034577" w:rsidRPr="00034577">
        <w:t>,</w:t>
      </w:r>
      <w:r w:rsidRPr="00034577">
        <w:t xml:space="preserve"> xã hội cho cộng đồng địa phương; (4) Nâng cao nhận thức và trách nhiệm môi trường của </w:t>
      </w:r>
      <w:r w:rsidR="00034577" w:rsidRPr="00034577">
        <w:t>khách du lịch</w:t>
      </w:r>
      <w:r w:rsidRPr="00034577">
        <w:t>, doanh nghiệp và cộng đồng.</w:t>
      </w:r>
    </w:p>
    <w:p w:rsidR="00D47E56" w:rsidRPr="00034577" w:rsidRDefault="00000000" w:rsidP="00034577">
      <w:pPr>
        <w:pStyle w:val="Heading2"/>
        <w:spacing w:before="0" w:after="0" w:line="400" w:lineRule="atLeast"/>
      </w:pPr>
      <w:r w:rsidRPr="00034577">
        <w:t>2.2. Mối quan hệ giữa du lịch xanh với các khái niệm liên quan</w:t>
      </w:r>
    </w:p>
    <w:p w:rsidR="00D47E56" w:rsidRPr="00034577" w:rsidRDefault="00000000" w:rsidP="00034577">
      <w:pPr>
        <w:pStyle w:val="Heading3"/>
        <w:spacing w:before="0" w:after="0" w:line="400" w:lineRule="atLeast"/>
      </w:pPr>
      <w:r w:rsidRPr="00034577">
        <w:t>2.2.1. Du lịch xanh và du lịch bền vững</w:t>
      </w:r>
    </w:p>
    <w:p w:rsidR="00D47E56" w:rsidRPr="00034577" w:rsidRDefault="00000000" w:rsidP="00034577">
      <w:pPr>
        <w:spacing w:line="400" w:lineRule="atLeast"/>
        <w:ind w:firstLine="720"/>
        <w:jc w:val="both"/>
      </w:pPr>
      <w:r w:rsidRPr="00034577">
        <w:t>Du lịch bền vững (sustainable tourism) là khái niệm rộng nhất, đề cập đến sự cân bằng giữa ba trụ cột: kinh tế, xã hội và môi trường trong phát triển du lịch. Du lịch xanh có thể hiểu là sự cụ thể hóa của du lịch bền vững, với trọng tâm đặc biệt vào trụ cột môi trường. Như vậy, mọi hoạt động du lịch xanh đều hướng đến bền vững, nhưng không phải mọi hình thức du lịch bền vững đều được gọi là du lịch xanh.</w:t>
      </w:r>
    </w:p>
    <w:p w:rsidR="00D47E56" w:rsidRPr="00034577" w:rsidRDefault="00000000" w:rsidP="00034577">
      <w:pPr>
        <w:pStyle w:val="Heading3"/>
        <w:spacing w:before="0" w:after="0" w:line="400" w:lineRule="atLeast"/>
      </w:pPr>
      <w:r w:rsidRPr="00034577">
        <w:t>2.2.2. Du lịch xanh và du lịch sinh thái</w:t>
      </w:r>
    </w:p>
    <w:p w:rsidR="00D47E56" w:rsidRPr="00034577" w:rsidRDefault="00000000" w:rsidP="00034577">
      <w:pPr>
        <w:spacing w:line="400" w:lineRule="atLeast"/>
        <w:ind w:firstLine="720"/>
        <w:jc w:val="both"/>
      </w:pPr>
      <w:r w:rsidRPr="00034577">
        <w:t xml:space="preserve">Du lịch sinh thái (ecotourism) được Hiệp hội Du lịch Sinh thái Quốc tế (TIES) định nghĩa là "du lịch có trách nhiệm đến các khu vực tự nhiên, bảo tồn môi trường, hỗ trợ phúc lợi của cộng đồng địa phương và liên quan đến diễn giải và giáo dục". Du lịch sinh thái tập trung chủ yếu vào các khu vực tự nhiên và hệ sinh thái nguyên sơ, trong khi du lịch xanh có phạm vi rộng hơn, có thể áp dụng cho mọi loại hình điểm đến </w:t>
      </w:r>
      <w:r w:rsidR="00034577" w:rsidRPr="00034577">
        <w:t>,</w:t>
      </w:r>
      <w:r w:rsidRPr="00034577">
        <w:t xml:space="preserve"> từ đô thị, di tích lịch sử đến khu nghỉ dưỡng biển.</w:t>
      </w:r>
    </w:p>
    <w:p w:rsidR="00D47E56" w:rsidRPr="00034577" w:rsidRDefault="00000000" w:rsidP="00034577">
      <w:pPr>
        <w:pStyle w:val="Heading3"/>
        <w:spacing w:before="0" w:after="0" w:line="400" w:lineRule="atLeast"/>
      </w:pPr>
      <w:r w:rsidRPr="00034577">
        <w:t>2.2.3. Du lịch xanh và tăng trưởng xanh</w:t>
      </w:r>
    </w:p>
    <w:p w:rsidR="00D47E56" w:rsidRPr="00034577" w:rsidRDefault="00000000" w:rsidP="00034577">
      <w:pPr>
        <w:spacing w:line="400" w:lineRule="atLeast"/>
        <w:ind w:firstLine="720"/>
        <w:jc w:val="both"/>
      </w:pPr>
      <w:r w:rsidRPr="00034577">
        <w:t>Tăng trưởng xanh (green growth) là mô hình phát triển kinh tế theo hướng sử dụng hiệu quả tài nguyên, giảm phát thải và tăng cường vốn tự nhiên. Du lịch xanh là một bộ phận quan trọng của tăng trưởng xanh trong lĩnh vực dịch vụ. Ở góc độ này, du lịch xanh không chỉ là hoạt động bảo vệ môi trường mà còn là mô hình kinh doanh du lịch tạo ra giá trị kinh tế từ tài nguyên xanh, đồng thời bảo tồn và tăng cường tài nguyên đó.</w:t>
      </w:r>
    </w:p>
    <w:p w:rsidR="00D47E56" w:rsidRPr="00034577" w:rsidRDefault="00000000" w:rsidP="00034577">
      <w:pPr>
        <w:pStyle w:val="Heading2"/>
        <w:spacing w:before="0" w:after="0" w:line="400" w:lineRule="atLeast"/>
      </w:pPr>
      <w:r w:rsidRPr="00034577">
        <w:t>2.3. Các nguyên tắc cơ bản của du lịch xanh</w:t>
      </w:r>
    </w:p>
    <w:p w:rsidR="00D47E56" w:rsidRPr="00034577" w:rsidRDefault="00000000" w:rsidP="00034577">
      <w:pPr>
        <w:spacing w:line="400" w:lineRule="atLeast"/>
        <w:ind w:firstLine="720"/>
        <w:jc w:val="both"/>
      </w:pPr>
      <w:r w:rsidRPr="00034577">
        <w:t>Dựa trên các tiêu chuẩn quốc tế như Tiêu chí Du lịch Bền vững Toàn cầu (GSTC), Nhãn Green Key và Nhãn ASEAN Green Hotel, có thể xác định năm nguyên tắc cơ bản của du lịch xanh:</w:t>
      </w:r>
    </w:p>
    <w:p w:rsidR="00D47E56" w:rsidRPr="00034577" w:rsidRDefault="00000000" w:rsidP="00034577">
      <w:pPr>
        <w:spacing w:line="400" w:lineRule="atLeast"/>
        <w:ind w:firstLine="720"/>
        <w:jc w:val="both"/>
      </w:pPr>
      <w:r w:rsidRPr="00034577">
        <w:t>(1) Hiệu quả môi trường: giảm thiểu tiêu thụ năng lượng, nước và phát sinh rác thải; ưu tiên sử dụng năng lượng tái tạo và vật liệu thân thiện môi trường.</w:t>
      </w:r>
    </w:p>
    <w:p w:rsidR="00D47E56" w:rsidRPr="00034577" w:rsidRDefault="00000000" w:rsidP="00034577">
      <w:pPr>
        <w:spacing w:line="400" w:lineRule="atLeast"/>
        <w:ind w:firstLine="720"/>
        <w:jc w:val="both"/>
      </w:pPr>
      <w:r w:rsidRPr="00034577">
        <w:lastRenderedPageBreak/>
        <w:t>(2) Hiệu quả kinh tế: đảm bảo tính khả thi tài chính và khả năng duy trì lâu dài; không đánh đổi lợi ích kinh tế hoàn toàn để bảo vệ môi trường.</w:t>
      </w:r>
    </w:p>
    <w:p w:rsidR="00D47E56" w:rsidRPr="00034577" w:rsidRDefault="00000000" w:rsidP="00034577">
      <w:pPr>
        <w:spacing w:line="400" w:lineRule="atLeast"/>
        <w:ind w:firstLine="720"/>
        <w:jc w:val="both"/>
      </w:pPr>
      <w:r w:rsidRPr="00034577">
        <w:t>(3) Công bằng xã hội: tạo cơ hội việc làm và chia sẻ lợi ích kinh tế với cộng đồng địa phương; không gây tác động tiêu cực đến đời sống và sinh kế của người dân.</w:t>
      </w:r>
    </w:p>
    <w:p w:rsidR="00D47E56" w:rsidRPr="00034577" w:rsidRDefault="00000000" w:rsidP="00034577">
      <w:pPr>
        <w:spacing w:line="400" w:lineRule="atLeast"/>
        <w:ind w:firstLine="720"/>
        <w:jc w:val="both"/>
      </w:pPr>
      <w:r w:rsidRPr="00034577">
        <w:t>(4) Bảo tồn văn hóa: tôn trọng và bảo vệ bản sắc văn hóa, truyền thống địa phương; tránh thương mại hóa quá mức và làm biến dạng văn hóa.</w:t>
      </w:r>
    </w:p>
    <w:p w:rsidR="00D47E56" w:rsidRPr="00034577" w:rsidRDefault="00000000" w:rsidP="00034577">
      <w:pPr>
        <w:spacing w:line="400" w:lineRule="atLeast"/>
        <w:ind w:firstLine="720"/>
        <w:jc w:val="both"/>
      </w:pPr>
      <w:r w:rsidRPr="00034577">
        <w:t>(5) Quản trị bền vững: đảm bảo sự tham gia của đa chủ thể trong ra quyết định; thiết lập cơ chế giám sát, đánh giá và điều chỉnh liên tục.</w:t>
      </w:r>
    </w:p>
    <w:p w:rsidR="00D47E56" w:rsidRPr="00034577" w:rsidRDefault="00000000" w:rsidP="00034577">
      <w:pPr>
        <w:pStyle w:val="Heading2"/>
        <w:spacing w:before="0" w:after="0" w:line="400" w:lineRule="atLeast"/>
      </w:pPr>
      <w:r w:rsidRPr="00034577">
        <w:t>2.4. Du lịch xanh như một quá trình chuyển đổi hành vi và đổi mới quản trị</w:t>
      </w:r>
    </w:p>
    <w:p w:rsidR="00D47E56" w:rsidRPr="00034577" w:rsidRDefault="00000000" w:rsidP="00034577">
      <w:pPr>
        <w:pStyle w:val="Heading3"/>
        <w:spacing w:before="0" w:after="0" w:line="400" w:lineRule="atLeast"/>
      </w:pPr>
      <w:r w:rsidRPr="00034577">
        <w:t>2.4.1. Hạn chế của cách tiếp cận thiên về kỹ thuật môi trường</w:t>
      </w:r>
    </w:p>
    <w:p w:rsidR="00D47E56" w:rsidRPr="00034577" w:rsidRDefault="00000000" w:rsidP="00034577">
      <w:pPr>
        <w:spacing w:line="400" w:lineRule="atLeast"/>
        <w:ind w:firstLine="720"/>
        <w:jc w:val="both"/>
      </w:pPr>
      <w:r w:rsidRPr="00034577">
        <w:t>Một trong những hạn chế phổ biến trong triển khai du lịch xanh là tập trung quá mức vào các giải pháp kỹ thuật và hạ tầng</w:t>
      </w:r>
      <w:r w:rsidR="00034577" w:rsidRPr="00034577">
        <w:t>,</w:t>
      </w:r>
      <w:r w:rsidRPr="00034577">
        <w:t xml:space="preserve"> lắp đặt hệ thống xử lý rác thải, chuyển sang sử dụng năng lượng mặt trời, thay thế nhựa dùng một lần bằng vật liệu tái chế</w:t>
      </w:r>
      <w:r w:rsidR="00034577" w:rsidRPr="00034577">
        <w:t>,</w:t>
      </w:r>
      <w:r w:rsidRPr="00034577">
        <w:t xml:space="preserve"> trong khi bỏ qua chiều cạnh hành vi và quản trị. Kinh nghiệm quốc tế cho thấy, nhiều dự án du lịch xanh thất bại không phải do thiếu công nghệ hay tài chính, mà do không thay đổi được hành vi của các bên liên quan và không xây dựng được cơ chế quản trị phù hợp.</w:t>
      </w:r>
    </w:p>
    <w:p w:rsidR="00D47E56" w:rsidRPr="00034577" w:rsidRDefault="00000000" w:rsidP="00034577">
      <w:pPr>
        <w:pStyle w:val="Heading3"/>
        <w:spacing w:before="0" w:after="0" w:line="400" w:lineRule="atLeast"/>
      </w:pPr>
      <w:r w:rsidRPr="00034577">
        <w:t>2.4.2. Tiếp cận hành vi trong phát triển du lịch xanh</w:t>
      </w:r>
    </w:p>
    <w:p w:rsidR="00D47E56" w:rsidRPr="00034577" w:rsidRDefault="00000000" w:rsidP="00034577">
      <w:pPr>
        <w:spacing w:line="400" w:lineRule="atLeast"/>
        <w:ind w:firstLine="720"/>
        <w:jc w:val="both"/>
      </w:pPr>
      <w:r w:rsidRPr="00034577">
        <w:t xml:space="preserve">Cách tiếp cận hành vi (behavioral approach) nhìn nhận du lịch xanh như một quá trình thay đổi tập quán và thái độ của bốn nhóm chủ thể: (1) </w:t>
      </w:r>
      <w:r w:rsidR="00034577" w:rsidRPr="00034577">
        <w:t>Khách du lịch,</w:t>
      </w:r>
      <w:r w:rsidRPr="00034577">
        <w:t xml:space="preserve"> từ tiêu thụ thụ động sang tham gia chủ động và có ý thức; (2) Doanh nghiệp du lịch</w:t>
      </w:r>
      <w:r w:rsidR="00034577" w:rsidRPr="00034577">
        <w:t>,</w:t>
      </w:r>
      <w:r w:rsidRPr="00034577">
        <w:t xml:space="preserve"> từ tối đa hóa lợi nhuận ngắn hạn sang kinh doanh có trách nhiệm dài hạn; (3) Cộng đồng địa phương</w:t>
      </w:r>
      <w:r w:rsidR="00034577" w:rsidRPr="00034577">
        <w:t>,</w:t>
      </w:r>
      <w:r w:rsidRPr="00034577">
        <w:t xml:space="preserve"> từ vai trò bị động sang chủ thể bảo tồn và hưởng lợi; (4) Cơ quan quản lý</w:t>
      </w:r>
      <w:r w:rsidR="00034577" w:rsidRPr="00034577">
        <w:t>,</w:t>
      </w:r>
      <w:r w:rsidRPr="00034577">
        <w:t xml:space="preserve"> từ quản lý hành chính sang quản trị đa chủ thể, linh hoạt và dựa trên bằng chứng.</w:t>
      </w:r>
    </w:p>
    <w:p w:rsidR="00D47E56" w:rsidRPr="00034577" w:rsidRDefault="00000000" w:rsidP="00034577">
      <w:pPr>
        <w:pStyle w:val="Heading3"/>
        <w:spacing w:before="0" w:after="0" w:line="400" w:lineRule="atLeast"/>
      </w:pPr>
      <w:r w:rsidRPr="00034577">
        <w:t>2.4.3. Tiếp cận quản trị điểm đến xanh</w:t>
      </w:r>
    </w:p>
    <w:p w:rsidR="00D47E56" w:rsidRPr="00034577" w:rsidRDefault="00000000" w:rsidP="00034577">
      <w:pPr>
        <w:spacing w:line="400" w:lineRule="atLeast"/>
        <w:ind w:firstLine="720"/>
        <w:jc w:val="both"/>
      </w:pPr>
      <w:r w:rsidRPr="00034577">
        <w:t>Quản trị điểm đến xanh (green destination governance) nhấn mạnh sự phối hợp đa chiều giữa các bên liên quan</w:t>
      </w:r>
      <w:r w:rsidR="00034577" w:rsidRPr="00034577">
        <w:t>,</w:t>
      </w:r>
      <w:r w:rsidRPr="00034577">
        <w:t xml:space="preserve"> chính quyền, doanh nghiệp, cộng đồng và </w:t>
      </w:r>
      <w:r w:rsidR="00034577" w:rsidRPr="00034577">
        <w:t>khách du lịch,</w:t>
      </w:r>
      <w:r w:rsidRPr="00034577">
        <w:t xml:space="preserve"> trong việc thiết lập và thực thi các tiêu chuẩn xanh. Cơ chế quản trị hiệu quả cần đảm bảo: tính minh bạch trong ra quyết định, sự tham gia thực chất của cộng đồng, hệ thống giám sát và đánh giá dựa trên chỉ số, và khả năng điều chỉnh linh hoạt khi có biến động.</w:t>
      </w:r>
    </w:p>
    <w:p w:rsidR="00D47E56" w:rsidRPr="00034577" w:rsidRDefault="00000000" w:rsidP="00034577">
      <w:pPr>
        <w:pStyle w:val="Heading1"/>
        <w:spacing w:before="0" w:after="0" w:line="400" w:lineRule="atLeast"/>
        <w:rPr>
          <w:sz w:val="26"/>
          <w:szCs w:val="26"/>
        </w:rPr>
      </w:pPr>
      <w:r w:rsidRPr="00034577">
        <w:rPr>
          <w:sz w:val="26"/>
          <w:szCs w:val="26"/>
        </w:rPr>
        <w:t>3. MỘT SỐ MÔ HÌNH LÝ THUYẾT VỀ DU LỊCH XANH</w:t>
      </w:r>
    </w:p>
    <w:p w:rsidR="00D47E56" w:rsidRPr="00B42009" w:rsidRDefault="00000000" w:rsidP="00034577">
      <w:pPr>
        <w:pStyle w:val="Heading2"/>
        <w:spacing w:before="0" w:after="0" w:line="400" w:lineRule="atLeast"/>
        <w:rPr>
          <w:lang w:val="vi-VN"/>
        </w:rPr>
      </w:pPr>
      <w:r w:rsidRPr="00034577">
        <w:t>3.1. Mô hình du lịch không rác thải</w:t>
      </w:r>
      <w:r w:rsidR="00B42009" w:rsidRPr="00B42009">
        <w:t xml:space="preserve"> </w:t>
      </w:r>
      <w:r w:rsidR="00B42009">
        <w:rPr>
          <w:lang w:val="vi-VN"/>
        </w:rPr>
        <w:t>(</w:t>
      </w:r>
      <w:r w:rsidR="00B42009" w:rsidRPr="00034577">
        <w:t>Zero,Waste Tourism</w:t>
      </w:r>
      <w:r w:rsidR="00B42009">
        <w:rPr>
          <w:lang w:val="vi-VN"/>
        </w:rPr>
        <w:t>)</w:t>
      </w:r>
    </w:p>
    <w:p w:rsidR="00D47E56" w:rsidRPr="00034577" w:rsidRDefault="00000000" w:rsidP="00034577">
      <w:pPr>
        <w:pStyle w:val="Heading3"/>
        <w:spacing w:before="0" w:after="0" w:line="400" w:lineRule="atLeast"/>
      </w:pPr>
      <w:r w:rsidRPr="00034577">
        <w:t>3.1.1. Khái niệm và nguyên tắc</w:t>
      </w:r>
    </w:p>
    <w:p w:rsidR="00D47E56" w:rsidRPr="00034577" w:rsidRDefault="00000000" w:rsidP="00034577">
      <w:pPr>
        <w:spacing w:line="400" w:lineRule="atLeast"/>
        <w:ind w:firstLine="720"/>
        <w:jc w:val="both"/>
      </w:pPr>
      <w:r w:rsidRPr="00034577">
        <w:lastRenderedPageBreak/>
        <w:t>Mô hình du lịch không rác thải được xây dựng trên nền tảng của kinh tế tuần hoàn (circular economy) và nguyên lý 5R: Refuse (từ chối), Reduce (giảm thiểu), Reuse (tái sử dụng), Recycle (tái chế) và Rot (ủ phân hữu cơ). Mục tiêu cốt lõi là giảm thiểu tối đa lượng rác thải gửi đến bãi chôn lấp hoặc lò đốt, hướng đến tuần hoàn hoàn toàn trong vòng đời vật liệu và sản phẩm.</w:t>
      </w:r>
    </w:p>
    <w:p w:rsidR="00D47E56" w:rsidRPr="00034577" w:rsidRDefault="00000000" w:rsidP="00034577">
      <w:pPr>
        <w:spacing w:line="400" w:lineRule="atLeast"/>
        <w:ind w:firstLine="720"/>
        <w:jc w:val="both"/>
      </w:pPr>
      <w:r w:rsidRPr="00034577">
        <w:t>Khái niệm này phân biệt với "quản lý rác thải" truyền thống ở chỗ: thay vì tập trung vào việc xử lý rác sau khi phát sinh, Zero</w:t>
      </w:r>
      <w:r w:rsidR="00034577" w:rsidRPr="00034577">
        <w:t>,</w:t>
      </w:r>
      <w:r w:rsidRPr="00034577">
        <w:t>Waste Tourism ưu tiên ngăn chặn rác thải từ nguồn gốc</w:t>
      </w:r>
      <w:r w:rsidR="00034577" w:rsidRPr="00034577">
        <w:t>,</w:t>
      </w:r>
      <w:r w:rsidRPr="00034577">
        <w:t xml:space="preserve"> thiết kế lại quy trình, thay đổi hành vi và xây dựng hệ thống tái sử dụng</w:t>
      </w:r>
      <w:r w:rsidR="00034577" w:rsidRPr="00034577">
        <w:t>,</w:t>
      </w:r>
      <w:r w:rsidRPr="00034577">
        <w:t xml:space="preserve"> xử lý là lựa chọn cuối cùng, không phải mặc định.</w:t>
      </w:r>
    </w:p>
    <w:p w:rsidR="00D47E56" w:rsidRPr="00034577" w:rsidRDefault="00000000" w:rsidP="00034577">
      <w:pPr>
        <w:pStyle w:val="Heading3"/>
        <w:spacing w:before="0" w:after="0" w:line="400" w:lineRule="atLeast"/>
      </w:pPr>
      <w:r w:rsidRPr="00034577">
        <w:t>3.1.2. Các hợp phần cơ bản</w:t>
      </w:r>
    </w:p>
    <w:p w:rsidR="00D47E56" w:rsidRPr="00034577" w:rsidRDefault="00000000" w:rsidP="00034577">
      <w:pPr>
        <w:spacing w:line="400" w:lineRule="atLeast"/>
        <w:ind w:firstLine="720"/>
        <w:jc w:val="both"/>
      </w:pPr>
      <w:r w:rsidRPr="00034577">
        <w:t xml:space="preserve">Mô hình </w:t>
      </w:r>
      <w:r w:rsidR="00034577" w:rsidRPr="00034577">
        <w:t xml:space="preserve">du lịch không rác thải </w:t>
      </w:r>
      <w:r w:rsidRPr="00034577">
        <w:t>hoạt động qua bốn hợp phần tích hợp: (1) Giảm phát sinh rác</w:t>
      </w:r>
      <w:r w:rsidR="00034577" w:rsidRPr="00034577">
        <w:t>,</w:t>
      </w:r>
      <w:r w:rsidRPr="00034577">
        <w:t xml:space="preserve"> thông qua thiết kế dịch vụ và sản phẩm theo nguyên lý tối giản hóa bao bì, loại bỏ nhựa dùng một lần và ưu tiên hàng hóa đựng trong bao bì tái sử dụng; (2) Tái sử dụng </w:t>
      </w:r>
      <w:r w:rsidR="00034577" w:rsidRPr="00034577">
        <w:t>,</w:t>
      </w:r>
      <w:r w:rsidRPr="00034577">
        <w:t xml:space="preserve"> xây dựng hệ thống cho thuê, đặt cọc và hoàn trả đồ dùng (cốc, chai, túi...); (3) Tái chế </w:t>
      </w:r>
      <w:r w:rsidR="00034577" w:rsidRPr="00034577">
        <w:t>,</w:t>
      </w:r>
      <w:r w:rsidRPr="00034577">
        <w:t xml:space="preserve"> phân loại rác tại nguồn, xây dựng chuỗi cung ứng vật liệu tái chế tích hợp; (4) Giáo dục hành vi </w:t>
      </w:r>
      <w:r w:rsidR="00034577" w:rsidRPr="00034577">
        <w:t>,</w:t>
      </w:r>
      <w:r w:rsidRPr="00034577">
        <w:t xml:space="preserve"> chương trình nâng cao nhận thức và khuyến khích thay đổi thói quen cho </w:t>
      </w:r>
      <w:r w:rsidR="00034577" w:rsidRPr="00034577">
        <w:t>khách du lịch</w:t>
      </w:r>
      <w:r w:rsidRPr="00034577">
        <w:t>, nhân viên và cộng đồng.</w:t>
      </w:r>
    </w:p>
    <w:p w:rsidR="00D47E56" w:rsidRPr="00034577" w:rsidRDefault="00000000" w:rsidP="00034577">
      <w:pPr>
        <w:pStyle w:val="Heading3"/>
        <w:spacing w:before="0" w:after="0" w:line="400" w:lineRule="atLeast"/>
      </w:pPr>
      <w:r w:rsidRPr="00034577">
        <w:t>3.1.3. Một số mô hình tiêu biểu trên thế giới</w:t>
      </w:r>
    </w:p>
    <w:p w:rsidR="00D47E56" w:rsidRPr="00034577" w:rsidRDefault="00000000" w:rsidP="00034577">
      <w:pPr>
        <w:spacing w:line="400" w:lineRule="atLeast"/>
        <w:ind w:firstLine="720"/>
        <w:jc w:val="both"/>
      </w:pPr>
      <w:r w:rsidRPr="00034577">
        <w:t>Kamikatsu (Nhật Bản) là trường hợp điển hình nhất với hệ thống phân loại 45 loại rác thải, đạt tỷ lệ tái chế 80%. Thành công của Kamikatsu nằm ở sự kết hợp giữa hạ tầng vật lý (trạm phân loại rác "Zero Waste Center"), cơ chế giám sát cộng đồng và chương trình giáo dục liên tục. Tại châu Âu, Copenhagen (Đan Mạch) và Bruges (Bỉ) là những thành phố du lịch tiên phong áp dụng chiến lược Zero</w:t>
      </w:r>
      <w:r w:rsidR="00034577" w:rsidRPr="00034577">
        <w:t>,</w:t>
      </w:r>
      <w:r w:rsidRPr="00034577">
        <w:t>Waste với mục tiêu đến năm 2030. Ở khu vực Đông Nam Á, đảo Gili Trawangan (Indonesia) và một số khu vực tại Bali đã triển khai cấm nhựa dùng một lần từ năm 2019, tạo ra tiền lệ quan trọng cho các điểm đến đảo ở Đông Nam Á.</w:t>
      </w:r>
    </w:p>
    <w:p w:rsidR="00D47E56" w:rsidRPr="00034577" w:rsidRDefault="00000000" w:rsidP="00034577">
      <w:pPr>
        <w:spacing w:line="400" w:lineRule="atLeast"/>
        <w:ind w:firstLine="720"/>
        <w:jc w:val="both"/>
      </w:pPr>
      <w:r w:rsidRPr="00034577">
        <w:t>Tại Việt Nam, dự án "Giảm thiểu rác thải nhựa trong lĩnh vực du lịch" do UNDP tài trợ (2023</w:t>
      </w:r>
      <w:r w:rsidR="00034577" w:rsidRPr="00034577">
        <w:t>,</w:t>
      </w:r>
      <w:r w:rsidRPr="00034577">
        <w:t>2024) đã bước đầu xây dựng bộ tiêu chí "doanh nghiệp du lịch không rác thải nhựa" và thí điểm tại một số điểm đến, cung cấp cơ sở thực tiễn quan trọng cho triển khai tại Thanh Hóa.</w:t>
      </w:r>
    </w:p>
    <w:p w:rsidR="00D47E56" w:rsidRPr="00034577" w:rsidRDefault="00000000" w:rsidP="00034577">
      <w:pPr>
        <w:pStyle w:val="Heading3"/>
        <w:spacing w:before="0" w:after="0" w:line="400" w:lineRule="atLeast"/>
      </w:pPr>
      <w:r w:rsidRPr="00034577">
        <w:t>3.1.4. Ưu điểm và hạn chế</w:t>
      </w:r>
    </w:p>
    <w:p w:rsidR="00D47E56" w:rsidRPr="00034577" w:rsidRDefault="00000000" w:rsidP="00034577">
      <w:pPr>
        <w:spacing w:line="400" w:lineRule="atLeast"/>
        <w:ind w:firstLine="720"/>
        <w:jc w:val="both"/>
      </w:pPr>
      <w:r w:rsidRPr="00034577">
        <w:t>Ưu điểm nổi bật của mô hình này là tính đo lường cao</w:t>
      </w:r>
      <w:r w:rsidR="00034577" w:rsidRPr="00034577">
        <w:t>,</w:t>
      </w:r>
      <w:r w:rsidRPr="00034577">
        <w:t xml:space="preserve"> có thể định lượng thông qua các chỉ số như tổng lượng rác thải, tỷ lệ tái chế, lượng nhựa loại bỏ</w:t>
      </w:r>
      <w:r w:rsidR="00034577" w:rsidRPr="00034577">
        <w:t>,</w:t>
      </w:r>
      <w:r w:rsidRPr="00034577">
        <w:t xml:space="preserve"> giúp theo dõi tiến độ và điều chỉnh chính sách. Mô hình cũng có tính nhân rộng tốt và phù hợp với </w:t>
      </w:r>
      <w:r w:rsidRPr="00034577">
        <w:lastRenderedPageBreak/>
        <w:t>nhiều loại hình điểm đến. Hạn chế chính là đòi hỏi đầu tư hạ tầng ban đầu đáng kể, cần sự phối hợp đồng bộ của nhiều chủ thể và đặc biệt khó triển khai ở những nơi thiếu hệ thống quản lý chất thải nền.</w:t>
      </w:r>
    </w:p>
    <w:p w:rsidR="00D47E56" w:rsidRPr="00034577" w:rsidRDefault="00000000" w:rsidP="00034577">
      <w:pPr>
        <w:pStyle w:val="Heading2"/>
        <w:spacing w:before="0" w:after="0" w:line="400" w:lineRule="atLeast"/>
      </w:pPr>
      <w:r w:rsidRPr="00034577">
        <w:t>3.2. Mô hình khách sạn xanh (Green Hotel Tourism)</w:t>
      </w:r>
    </w:p>
    <w:p w:rsidR="00D47E56" w:rsidRPr="00034577" w:rsidRDefault="00000000" w:rsidP="00034577">
      <w:pPr>
        <w:pStyle w:val="Heading3"/>
        <w:spacing w:before="0" w:after="0" w:line="400" w:lineRule="atLeast"/>
      </w:pPr>
      <w:r w:rsidRPr="00034577">
        <w:t>3.2.1. Khái niệm và tiêu chí vận hành</w:t>
      </w:r>
    </w:p>
    <w:p w:rsidR="00D47E56" w:rsidRPr="00034577" w:rsidRDefault="00000000" w:rsidP="00034577">
      <w:pPr>
        <w:spacing w:line="400" w:lineRule="atLeast"/>
        <w:ind w:firstLine="720"/>
        <w:jc w:val="both"/>
      </w:pPr>
      <w:r w:rsidRPr="00034577">
        <w:t>Mô hình du lịch khách sạn xanh hướng đến việc chuẩn hóa hoạt động của cơ sở lưu trú theo các tiêu chuẩn môi trường được công nhận quốc tế. Khách sạn xanh không chỉ đơn giản là "thân thiện với môi trường" mà phải đáp ứng các tiêu chí cụ thể, có thể kiểm chứng và được chứng nhận bởi tổ chức độc lập. Các tiêu chí vận hành xanh tập trung vào bốn lĩnh vực cốt lõi: (1) Năng lượng</w:t>
      </w:r>
      <w:r w:rsidR="00034577" w:rsidRPr="00034577">
        <w:t>,</w:t>
      </w:r>
      <w:r w:rsidRPr="00034577">
        <w:t xml:space="preserve"> giảm tiêu thụ, chuyển sang tái tạo; (2) Nước</w:t>
      </w:r>
      <w:r w:rsidR="00034577" w:rsidRPr="00034577">
        <w:t>,</w:t>
      </w:r>
      <w:r w:rsidRPr="00034577">
        <w:t xml:space="preserve"> tái sử dụng, giảm tiêu hao; (3) Chất thải</w:t>
      </w:r>
      <w:r w:rsidR="00034577" w:rsidRPr="00034577">
        <w:t>,</w:t>
      </w:r>
      <w:r w:rsidRPr="00034577">
        <w:t xml:space="preserve"> phân loại, tái chế và giảm thiểu; (4) Mua sắm xanh</w:t>
      </w:r>
      <w:r w:rsidR="00034577" w:rsidRPr="00034577">
        <w:t>,</w:t>
      </w:r>
      <w:r w:rsidRPr="00034577">
        <w:t xml:space="preserve"> ưu tiên sản phẩm địa phương, hữu cơ và ít bao bì.</w:t>
      </w:r>
    </w:p>
    <w:p w:rsidR="00D47E56" w:rsidRPr="00034577" w:rsidRDefault="00000000" w:rsidP="00034577">
      <w:pPr>
        <w:pStyle w:val="Heading3"/>
        <w:spacing w:before="0" w:after="0" w:line="400" w:lineRule="atLeast"/>
      </w:pPr>
      <w:r w:rsidRPr="00034577">
        <w:t>3.2.2. Hệ thống tiêu chuẩn và chứng nhận</w:t>
      </w:r>
    </w:p>
    <w:p w:rsidR="00D47E56" w:rsidRPr="00034577" w:rsidRDefault="00000000" w:rsidP="00034577">
      <w:pPr>
        <w:spacing w:line="400" w:lineRule="atLeast"/>
        <w:ind w:firstLine="720"/>
        <w:jc w:val="both"/>
      </w:pPr>
      <w:r w:rsidRPr="00034577">
        <w:t>Hiện có nhiều hệ thống chứng nhận khách sạn xanh được áp dụng rộng rãi: (1) Tiêu chuẩn Khách sạn Xanh ASEAN (ASEAN Green Hotel Standard)</w:t>
      </w:r>
      <w:r w:rsidR="00034577" w:rsidRPr="00034577">
        <w:t>,</w:t>
      </w:r>
      <w:r w:rsidRPr="00034577">
        <w:t xml:space="preserve"> được áp dụng tại Việt Nam từ năm 2016 với 149 tiêu chí thuộc tám nhóm; (2) Nhãn Green Key</w:t>
      </w:r>
      <w:r w:rsidR="00034577" w:rsidRPr="00034577">
        <w:t>,</w:t>
      </w:r>
      <w:r w:rsidRPr="00034577">
        <w:t xml:space="preserve"> hệ thống chứng nhận quốc tế uy tín với hơn 4.000 cơ sở tại 60 quốc gia, được UNEP và UNWTO công nhận; (3) EarthCheck</w:t>
      </w:r>
      <w:r w:rsidR="00034577" w:rsidRPr="00034577">
        <w:t>,</w:t>
      </w:r>
      <w:r w:rsidRPr="00034577">
        <w:t xml:space="preserve"> tiêu chuẩn khoa học dựa trên dữ liệu đo lường thực tế, phổ biến tại khu vực châu Á Thái Bình Dương; (4) Green Lotus</w:t>
      </w:r>
      <w:r w:rsidR="00034577" w:rsidRPr="00034577">
        <w:t>,</w:t>
      </w:r>
      <w:r w:rsidRPr="00034577">
        <w:t xml:space="preserve"> nhãn hiệu xanh trong du lịch lưu trú của Việt Nam, được Bộ Văn hóa, Thể thao và Du lịch cấp.</w:t>
      </w:r>
    </w:p>
    <w:p w:rsidR="00D47E56" w:rsidRPr="00034577" w:rsidRDefault="00000000" w:rsidP="00034577">
      <w:pPr>
        <w:pStyle w:val="Heading3"/>
        <w:spacing w:before="0" w:after="0" w:line="400" w:lineRule="atLeast"/>
      </w:pPr>
      <w:r w:rsidRPr="00034577">
        <w:t>3.2.3. Ưu điểm và hạn chế</w:t>
      </w:r>
    </w:p>
    <w:p w:rsidR="00D47E56" w:rsidRPr="00034577" w:rsidRDefault="00000000" w:rsidP="00034577">
      <w:pPr>
        <w:spacing w:line="400" w:lineRule="atLeast"/>
        <w:ind w:firstLine="720"/>
        <w:jc w:val="both"/>
      </w:pPr>
      <w:r w:rsidRPr="00034577">
        <w:t>Mô hình khách sạn xanh có lợi thế lớn ở tính khả thi thực tiễn</w:t>
      </w:r>
      <w:r w:rsidR="00034577" w:rsidRPr="00034577">
        <w:t>,</w:t>
      </w:r>
      <w:r w:rsidRPr="00034577">
        <w:t xml:space="preserve"> các cơ sở lưu trú là chủ thể duy nhất, có thể tự quyết định áp dụng mà không nhất thiết phải có sự phối hợp của toàn bộ điểm đến. Chi phí tiết kiệm năng lượng và nước trong dài hạn thường đủ bù đắp chi phí đầu tư ban đầu. Hạn chế chính là tác động môi trường bị giới hạn trong phạm vi cơ sở, không giải quyết được các vấn đề môi trường của toàn điểm đến. Bên cạnh đó, tình trạng "greenwashing"</w:t>
      </w:r>
      <w:r w:rsidR="00034577" w:rsidRPr="00034577">
        <w:t>,</w:t>
      </w:r>
      <w:r w:rsidRPr="00034577">
        <w:t xml:space="preserve"> tự nhận là xanh mà không có chứng nhận </w:t>
      </w:r>
      <w:r w:rsidR="00034577" w:rsidRPr="00034577">
        <w:t>,</w:t>
      </w:r>
      <w:r w:rsidRPr="00034577">
        <w:t xml:space="preserve"> đang làm suy giảm uy tín của nhãn xanh trên thị trường.</w:t>
      </w:r>
    </w:p>
    <w:p w:rsidR="00D47E56" w:rsidRPr="00034577" w:rsidRDefault="00000000" w:rsidP="00034577">
      <w:pPr>
        <w:pStyle w:val="Heading2"/>
        <w:spacing w:before="0" w:after="0" w:line="400" w:lineRule="atLeast"/>
      </w:pPr>
      <w:r w:rsidRPr="00034577">
        <w:t>3.3. Mô hình du lịch cộng đồng gắn với bảo tồn (Community</w:t>
      </w:r>
      <w:r w:rsidR="00B42009">
        <w:rPr>
          <w:lang w:val="vi-VN"/>
        </w:rPr>
        <w:t xml:space="preserve"> </w:t>
      </w:r>
      <w:r w:rsidRPr="00034577">
        <w:t>based Conservation Tourism)</w:t>
      </w:r>
    </w:p>
    <w:p w:rsidR="00D47E56" w:rsidRPr="00034577" w:rsidRDefault="00000000" w:rsidP="00034577">
      <w:pPr>
        <w:pStyle w:val="Heading3"/>
        <w:spacing w:before="0" w:after="0" w:line="400" w:lineRule="atLeast"/>
      </w:pPr>
      <w:r w:rsidRPr="00034577">
        <w:t>3.3.1. Khái niệm và vai trò của cộng đồng</w:t>
      </w:r>
    </w:p>
    <w:p w:rsidR="00D47E56" w:rsidRPr="00034577" w:rsidRDefault="00000000" w:rsidP="00034577">
      <w:pPr>
        <w:spacing w:line="400" w:lineRule="atLeast"/>
        <w:ind w:firstLine="720"/>
        <w:jc w:val="both"/>
      </w:pPr>
      <w:r w:rsidRPr="00034577">
        <w:t>Mô hình du lịch cộng đồng gắn với bảo tồn (CBCT</w:t>
      </w:r>
      <w:r w:rsidR="00034577" w:rsidRPr="00034577">
        <w:t>,</w:t>
      </w:r>
      <w:r w:rsidRPr="00034577">
        <w:t xml:space="preserve"> Community</w:t>
      </w:r>
      <w:r w:rsidR="002C5312">
        <w:rPr>
          <w:lang w:val="vi-VN"/>
        </w:rPr>
        <w:t xml:space="preserve"> </w:t>
      </w:r>
      <w:r w:rsidRPr="00034577">
        <w:t xml:space="preserve">Based Conservation Tourism) đặt cộng đồng địa phương vào vị trí trung tâm, vừa là chủ thể bảo tồn tài nguyên vừa là người hưởng lợi chính từ phát triển du lịch. Cộng đồng không </w:t>
      </w:r>
      <w:r w:rsidRPr="00034577">
        <w:lastRenderedPageBreak/>
        <w:t>chỉ tham gia cung cấp dịch vụ (hướng dẫn, lưu trú, ẩm thực) mà còn đóng vai trò bảo vệ hệ sinh thái, duy trì văn hóa truyền thống và quản lý không gian du lịch.</w:t>
      </w:r>
    </w:p>
    <w:p w:rsidR="00D47E56" w:rsidRPr="00034577" w:rsidRDefault="00000000" w:rsidP="00034577">
      <w:pPr>
        <w:spacing w:line="400" w:lineRule="atLeast"/>
        <w:ind w:firstLine="720"/>
        <w:jc w:val="both"/>
      </w:pPr>
      <w:r w:rsidRPr="00034577">
        <w:t>Mối quan hệ giữa bảo tồn và sinh kế trong mô hình này là cốt lõi: thu nhập từ du lịch tạo ra động lực kinh tế để cộng đồng bảo vệ tài nguyên thay vì khai thác. Đây là nguyên lý "bảo tồn thông qua sử dụng có trách nhiệm"</w:t>
      </w:r>
      <w:r w:rsidR="00034577" w:rsidRPr="00034577">
        <w:t>,</w:t>
      </w:r>
      <w:r w:rsidRPr="00034577">
        <w:t xml:space="preserve"> khác về bản chất với cách tiếp cận bảo tồn nghiêm ngặt loại trừ cộng đồng khỏi tài nguyên.</w:t>
      </w:r>
    </w:p>
    <w:p w:rsidR="00D47E56" w:rsidRPr="00034577" w:rsidRDefault="00000000" w:rsidP="00034577">
      <w:pPr>
        <w:pStyle w:val="Heading3"/>
        <w:spacing w:before="0" w:after="0" w:line="400" w:lineRule="atLeast"/>
      </w:pPr>
      <w:r w:rsidRPr="00034577">
        <w:t>3.3.2. Một số mô hình tiêu biểu</w:t>
      </w:r>
    </w:p>
    <w:p w:rsidR="00D47E56" w:rsidRPr="00034577" w:rsidRDefault="00000000" w:rsidP="00034577">
      <w:pPr>
        <w:spacing w:line="400" w:lineRule="atLeast"/>
        <w:ind w:firstLine="720"/>
        <w:jc w:val="both"/>
      </w:pPr>
      <w:r w:rsidRPr="00034577">
        <w:t>Trên thế giới, mô hình CBCT đã được triển khai thành công tại nhiều nơi: cộng đồng Maasai tại Kenya và Tanzania kết hợp du lịch safari với bảo vệ đồng cỏ và loài hoang dã; làng Misool Eco Resort tại Raja Ampat (Indonesia) đã biến cộng đồng đánh cá thành người bảo vệ san hô biển thông qua mô hình du lịch lặn biển; các làng bản ở Bhutan phát triển du lịch văn hóa gắn với bảo tồn hệ sinh thái rừng Himalaya.</w:t>
      </w:r>
    </w:p>
    <w:p w:rsidR="00D47E56" w:rsidRPr="00034577" w:rsidRDefault="00000000" w:rsidP="00034577">
      <w:pPr>
        <w:spacing w:line="400" w:lineRule="atLeast"/>
        <w:ind w:firstLine="720"/>
        <w:jc w:val="both"/>
      </w:pPr>
      <w:r w:rsidRPr="00034577">
        <w:t>Tại Việt Nam, một số mô hình CBCT đã cho thấy kết quả tích cực: Homestay cộng đồng Pù Luông (Thanh Hóa), Cộng đồng sinh thái Sapa (Lào Cai) và Du lịch cộng đồng Tả Van. Đặc biệt, kinh nghiệm từ Pù Luông cho thấy cộng đồng dân tộc thiểu số Thái và Mường có thể đóng vai trò quan trọng trong phát triển du lịch xanh gắn với bảo vệ không gian ruộng bậc thang và văn hóa truyền thống.</w:t>
      </w:r>
    </w:p>
    <w:p w:rsidR="00D47E56" w:rsidRPr="00034577" w:rsidRDefault="00000000" w:rsidP="00034577">
      <w:pPr>
        <w:pStyle w:val="Heading3"/>
        <w:spacing w:before="0" w:after="0" w:line="400" w:lineRule="atLeast"/>
      </w:pPr>
      <w:r w:rsidRPr="00034577">
        <w:t>3.3.3. Ưu điểm và hạn chế</w:t>
      </w:r>
    </w:p>
    <w:p w:rsidR="00D47E56" w:rsidRPr="00034577" w:rsidRDefault="00000000" w:rsidP="00034577">
      <w:pPr>
        <w:spacing w:line="400" w:lineRule="atLeast"/>
        <w:ind w:firstLine="720"/>
        <w:jc w:val="both"/>
      </w:pPr>
      <w:r w:rsidRPr="00034577">
        <w:t>Mô hình CBCT có ưu điểm vượt trội về tính bền vững xã hội khi cộng đồng là chủ thể và người hưởng lợi, tính duy trì và khả năng nhân rộng tự nhiên cao hơn các mô hình do doanh nghiệp bên ngoài dẫn dắt. Đây cũng là mô hình phù hợp nhất với mục tiêu xóa đói giảm nghèo và phát triển kinh tế vùng núi. Hạn chế chính là đòi hỏi đầu tư lớn vào xây dựng năng lực cộng đồng, thường cần thời gian dài (5</w:t>
      </w:r>
      <w:r w:rsidR="002C5312">
        <w:rPr>
          <w:lang w:val="vi-VN"/>
        </w:rPr>
        <w:t xml:space="preserve"> - </w:t>
      </w:r>
      <w:r w:rsidRPr="00034577">
        <w:t>10 năm) mới đạt hiệu quả, và dễ bị tác động bởi xung đột nội bộ cộng đồng hoặc can thiệp không phù hợp từ bên ngoài.</w:t>
      </w:r>
    </w:p>
    <w:p w:rsidR="00D47E56" w:rsidRPr="00034577" w:rsidRDefault="00000000" w:rsidP="00034577">
      <w:pPr>
        <w:pStyle w:val="Heading2"/>
        <w:spacing w:before="0" w:after="0" w:line="400" w:lineRule="atLeast"/>
      </w:pPr>
      <w:r w:rsidRPr="00034577">
        <w:t>3.4. So sánh các mô hình dưới góc nhìn chuyển đổi hành vi và quản trị</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00"/>
        <w:gridCol w:w="2400"/>
        <w:gridCol w:w="2400"/>
        <w:gridCol w:w="2400"/>
      </w:tblGrid>
      <w:tr w:rsidR="00D47E56">
        <w:trPr>
          <w:tblHeader/>
        </w:trPr>
        <w:tc>
          <w:tcPr>
            <w:tcW w:w="2000" w:type="dxa"/>
            <w:shd w:val="clear" w:color="auto" w:fill="1B5E20"/>
            <w:tcMar>
              <w:top w:w="80" w:type="dxa"/>
              <w:left w:w="120" w:type="dxa"/>
              <w:bottom w:w="80" w:type="dxa"/>
              <w:right w:w="120" w:type="dxa"/>
            </w:tcMar>
          </w:tcPr>
          <w:p w:rsidR="00D47E56" w:rsidRDefault="00000000">
            <w:pPr>
              <w:jc w:val="center"/>
            </w:pPr>
            <w:r>
              <w:rPr>
                <w:b/>
                <w:bCs/>
                <w:color w:val="FFFFFF"/>
              </w:rPr>
              <w:t>Tiêu chí</w:t>
            </w:r>
          </w:p>
        </w:tc>
        <w:tc>
          <w:tcPr>
            <w:tcW w:w="2400" w:type="dxa"/>
            <w:shd w:val="clear" w:color="auto" w:fill="1B5E20"/>
            <w:tcMar>
              <w:top w:w="80" w:type="dxa"/>
              <w:left w:w="120" w:type="dxa"/>
              <w:bottom w:w="80" w:type="dxa"/>
              <w:right w:w="120" w:type="dxa"/>
            </w:tcMar>
          </w:tcPr>
          <w:p w:rsidR="00D47E56" w:rsidRDefault="00034577">
            <w:pPr>
              <w:jc w:val="center"/>
            </w:pPr>
            <w:r>
              <w:rPr>
                <w:b/>
                <w:bCs/>
                <w:color w:val="FFFFFF"/>
                <w:lang w:val="vi-VN"/>
              </w:rPr>
              <w:t>D</w:t>
            </w:r>
            <w:r w:rsidRPr="00034577">
              <w:rPr>
                <w:b/>
                <w:bCs/>
                <w:color w:val="FFFFFF"/>
              </w:rPr>
              <w:t>u lịch không rác thải</w:t>
            </w:r>
          </w:p>
        </w:tc>
        <w:tc>
          <w:tcPr>
            <w:tcW w:w="2400" w:type="dxa"/>
            <w:shd w:val="clear" w:color="auto" w:fill="1B5E20"/>
            <w:tcMar>
              <w:top w:w="80" w:type="dxa"/>
              <w:left w:w="120" w:type="dxa"/>
              <w:bottom w:w="80" w:type="dxa"/>
              <w:right w:w="120" w:type="dxa"/>
            </w:tcMar>
          </w:tcPr>
          <w:p w:rsidR="00D47E56" w:rsidRDefault="00000000">
            <w:pPr>
              <w:jc w:val="center"/>
            </w:pPr>
            <w:r>
              <w:rPr>
                <w:b/>
                <w:bCs/>
                <w:color w:val="FFFFFF"/>
              </w:rPr>
              <w:t>Khách sạn xanh</w:t>
            </w:r>
          </w:p>
        </w:tc>
        <w:tc>
          <w:tcPr>
            <w:tcW w:w="2400" w:type="dxa"/>
            <w:shd w:val="clear" w:color="auto" w:fill="1B5E20"/>
            <w:tcMar>
              <w:top w:w="80" w:type="dxa"/>
              <w:left w:w="120" w:type="dxa"/>
              <w:bottom w:w="80" w:type="dxa"/>
              <w:right w:w="120" w:type="dxa"/>
            </w:tcMar>
          </w:tcPr>
          <w:p w:rsidR="00D47E56" w:rsidRDefault="00000000">
            <w:pPr>
              <w:jc w:val="center"/>
            </w:pPr>
            <w:r>
              <w:rPr>
                <w:b/>
                <w:bCs/>
                <w:color w:val="FFFFFF"/>
              </w:rPr>
              <w:t>DL cộng đồng bảo tồn</w:t>
            </w:r>
          </w:p>
        </w:tc>
      </w:tr>
      <w:tr w:rsidR="00D47E56">
        <w:tc>
          <w:tcPr>
            <w:tcW w:w="2000" w:type="dxa"/>
            <w:shd w:val="clear" w:color="auto" w:fill="E8F5E9"/>
            <w:tcMar>
              <w:top w:w="60" w:type="dxa"/>
              <w:left w:w="120" w:type="dxa"/>
              <w:bottom w:w="60" w:type="dxa"/>
              <w:right w:w="120" w:type="dxa"/>
            </w:tcMar>
          </w:tcPr>
          <w:p w:rsidR="00D47E56" w:rsidRDefault="00000000">
            <w:r>
              <w:rPr>
                <w:b/>
                <w:bCs/>
                <w:sz w:val="24"/>
                <w:szCs w:val="24"/>
              </w:rPr>
              <w:t>Chủ thể trung tâm</w:t>
            </w:r>
          </w:p>
        </w:tc>
        <w:tc>
          <w:tcPr>
            <w:tcW w:w="2400" w:type="dxa"/>
            <w:shd w:val="clear" w:color="auto" w:fill="E8F5E9"/>
            <w:tcMar>
              <w:top w:w="60" w:type="dxa"/>
              <w:left w:w="120" w:type="dxa"/>
              <w:bottom w:w="60" w:type="dxa"/>
              <w:right w:w="120" w:type="dxa"/>
            </w:tcMar>
          </w:tcPr>
          <w:p w:rsidR="00D47E56" w:rsidRDefault="00000000">
            <w:pPr>
              <w:jc w:val="center"/>
            </w:pPr>
            <w:r>
              <w:rPr>
                <w:sz w:val="24"/>
                <w:szCs w:val="24"/>
              </w:rPr>
              <w:t xml:space="preserve">BQL điểm đến &amp; </w:t>
            </w:r>
            <w:r w:rsidR="00034577">
              <w:rPr>
                <w:sz w:val="24"/>
                <w:szCs w:val="24"/>
              </w:rPr>
              <w:t>khách du lịch</w:t>
            </w:r>
          </w:p>
        </w:tc>
        <w:tc>
          <w:tcPr>
            <w:tcW w:w="2400" w:type="dxa"/>
            <w:shd w:val="clear" w:color="auto" w:fill="E8F5E9"/>
            <w:tcMar>
              <w:top w:w="60" w:type="dxa"/>
              <w:left w:w="120" w:type="dxa"/>
              <w:bottom w:w="60" w:type="dxa"/>
              <w:right w:w="120" w:type="dxa"/>
            </w:tcMar>
          </w:tcPr>
          <w:p w:rsidR="00D47E56" w:rsidRDefault="00000000">
            <w:pPr>
              <w:jc w:val="center"/>
            </w:pPr>
            <w:r>
              <w:rPr>
                <w:sz w:val="24"/>
                <w:szCs w:val="24"/>
              </w:rPr>
              <w:t>Doanh nghiệp lưu trú</w:t>
            </w:r>
          </w:p>
        </w:tc>
        <w:tc>
          <w:tcPr>
            <w:tcW w:w="2400" w:type="dxa"/>
            <w:shd w:val="clear" w:color="auto" w:fill="E8F5E9"/>
            <w:tcMar>
              <w:top w:w="60" w:type="dxa"/>
              <w:left w:w="120" w:type="dxa"/>
              <w:bottom w:w="60" w:type="dxa"/>
              <w:right w:w="120" w:type="dxa"/>
            </w:tcMar>
          </w:tcPr>
          <w:p w:rsidR="00D47E56" w:rsidRDefault="00000000">
            <w:pPr>
              <w:jc w:val="center"/>
            </w:pPr>
            <w:r>
              <w:rPr>
                <w:sz w:val="24"/>
                <w:szCs w:val="24"/>
              </w:rPr>
              <w:t>Cộng đồng địa phương</w:t>
            </w:r>
          </w:p>
        </w:tc>
      </w:tr>
      <w:tr w:rsidR="00D47E56">
        <w:tc>
          <w:tcPr>
            <w:tcW w:w="2000" w:type="dxa"/>
            <w:shd w:val="clear" w:color="auto" w:fill="FFFFFF"/>
            <w:tcMar>
              <w:top w:w="60" w:type="dxa"/>
              <w:left w:w="120" w:type="dxa"/>
              <w:bottom w:w="60" w:type="dxa"/>
              <w:right w:w="120" w:type="dxa"/>
            </w:tcMar>
          </w:tcPr>
          <w:p w:rsidR="00D47E56" w:rsidRDefault="00000000">
            <w:r>
              <w:rPr>
                <w:b/>
                <w:bCs/>
                <w:sz w:val="24"/>
                <w:szCs w:val="24"/>
              </w:rPr>
              <w:t>Phạm vi tác động</w:t>
            </w:r>
          </w:p>
        </w:tc>
        <w:tc>
          <w:tcPr>
            <w:tcW w:w="2400" w:type="dxa"/>
            <w:shd w:val="clear" w:color="auto" w:fill="FFFFFF"/>
            <w:tcMar>
              <w:top w:w="60" w:type="dxa"/>
              <w:left w:w="120" w:type="dxa"/>
              <w:bottom w:w="60" w:type="dxa"/>
              <w:right w:w="120" w:type="dxa"/>
            </w:tcMar>
          </w:tcPr>
          <w:p w:rsidR="00D47E56" w:rsidRDefault="00000000">
            <w:pPr>
              <w:jc w:val="center"/>
            </w:pPr>
            <w:r>
              <w:rPr>
                <w:sz w:val="24"/>
                <w:szCs w:val="24"/>
              </w:rPr>
              <w:t>Toàn điểm đến</w:t>
            </w:r>
          </w:p>
        </w:tc>
        <w:tc>
          <w:tcPr>
            <w:tcW w:w="2400" w:type="dxa"/>
            <w:shd w:val="clear" w:color="auto" w:fill="FFFFFF"/>
            <w:tcMar>
              <w:top w:w="60" w:type="dxa"/>
              <w:left w:w="120" w:type="dxa"/>
              <w:bottom w:w="60" w:type="dxa"/>
              <w:right w:w="120" w:type="dxa"/>
            </w:tcMar>
          </w:tcPr>
          <w:p w:rsidR="00D47E56" w:rsidRDefault="00000000">
            <w:pPr>
              <w:jc w:val="center"/>
            </w:pPr>
            <w:r>
              <w:rPr>
                <w:sz w:val="24"/>
                <w:szCs w:val="24"/>
              </w:rPr>
              <w:t>Trong cơ sở lưu trú</w:t>
            </w:r>
          </w:p>
        </w:tc>
        <w:tc>
          <w:tcPr>
            <w:tcW w:w="2400" w:type="dxa"/>
            <w:shd w:val="clear" w:color="auto" w:fill="FFFFFF"/>
            <w:tcMar>
              <w:top w:w="60" w:type="dxa"/>
              <w:left w:w="120" w:type="dxa"/>
              <w:bottom w:w="60" w:type="dxa"/>
              <w:right w:w="120" w:type="dxa"/>
            </w:tcMar>
          </w:tcPr>
          <w:p w:rsidR="00D47E56" w:rsidRDefault="00000000">
            <w:pPr>
              <w:jc w:val="center"/>
            </w:pPr>
            <w:r>
              <w:rPr>
                <w:sz w:val="24"/>
                <w:szCs w:val="24"/>
              </w:rPr>
              <w:t>Vùng sinh thái / văn hóa</w:t>
            </w:r>
          </w:p>
        </w:tc>
      </w:tr>
      <w:tr w:rsidR="00D47E56">
        <w:tc>
          <w:tcPr>
            <w:tcW w:w="2000" w:type="dxa"/>
            <w:shd w:val="clear" w:color="auto" w:fill="E8F5E9"/>
            <w:tcMar>
              <w:top w:w="60" w:type="dxa"/>
              <w:left w:w="120" w:type="dxa"/>
              <w:bottom w:w="60" w:type="dxa"/>
              <w:right w:w="120" w:type="dxa"/>
            </w:tcMar>
          </w:tcPr>
          <w:p w:rsidR="00D47E56" w:rsidRDefault="00000000">
            <w:r>
              <w:rPr>
                <w:b/>
                <w:bCs/>
                <w:sz w:val="24"/>
                <w:szCs w:val="24"/>
              </w:rPr>
              <w:t>Khả năng đo lường</w:t>
            </w:r>
          </w:p>
        </w:tc>
        <w:tc>
          <w:tcPr>
            <w:tcW w:w="2400" w:type="dxa"/>
            <w:shd w:val="clear" w:color="auto" w:fill="E8F5E9"/>
            <w:tcMar>
              <w:top w:w="60" w:type="dxa"/>
              <w:left w:w="120" w:type="dxa"/>
              <w:bottom w:w="60" w:type="dxa"/>
              <w:right w:w="120" w:type="dxa"/>
            </w:tcMar>
          </w:tcPr>
          <w:p w:rsidR="00D47E56" w:rsidRDefault="00000000">
            <w:pPr>
              <w:jc w:val="center"/>
            </w:pPr>
            <w:r>
              <w:rPr>
                <w:sz w:val="24"/>
                <w:szCs w:val="24"/>
              </w:rPr>
              <w:t>Cao (chỉ số rác thải)</w:t>
            </w:r>
          </w:p>
        </w:tc>
        <w:tc>
          <w:tcPr>
            <w:tcW w:w="2400" w:type="dxa"/>
            <w:shd w:val="clear" w:color="auto" w:fill="E8F5E9"/>
            <w:tcMar>
              <w:top w:w="60" w:type="dxa"/>
              <w:left w:w="120" w:type="dxa"/>
              <w:bottom w:w="60" w:type="dxa"/>
              <w:right w:w="120" w:type="dxa"/>
            </w:tcMar>
          </w:tcPr>
          <w:p w:rsidR="00D47E56" w:rsidRDefault="00000000">
            <w:pPr>
              <w:jc w:val="center"/>
            </w:pPr>
            <w:r>
              <w:rPr>
                <w:sz w:val="24"/>
                <w:szCs w:val="24"/>
              </w:rPr>
              <w:t>Cao (năng lượng, nước)</w:t>
            </w:r>
          </w:p>
        </w:tc>
        <w:tc>
          <w:tcPr>
            <w:tcW w:w="2400" w:type="dxa"/>
            <w:shd w:val="clear" w:color="auto" w:fill="E8F5E9"/>
            <w:tcMar>
              <w:top w:w="60" w:type="dxa"/>
              <w:left w:w="120" w:type="dxa"/>
              <w:bottom w:w="60" w:type="dxa"/>
              <w:right w:w="120" w:type="dxa"/>
            </w:tcMar>
          </w:tcPr>
          <w:p w:rsidR="00D47E56" w:rsidRDefault="00000000">
            <w:pPr>
              <w:jc w:val="center"/>
            </w:pPr>
            <w:r>
              <w:rPr>
                <w:sz w:val="24"/>
                <w:szCs w:val="24"/>
              </w:rPr>
              <w:t>Trung bình (thu nhập, đa dạng sinh học)</w:t>
            </w:r>
          </w:p>
        </w:tc>
      </w:tr>
      <w:tr w:rsidR="00D47E56">
        <w:tc>
          <w:tcPr>
            <w:tcW w:w="2000" w:type="dxa"/>
            <w:shd w:val="clear" w:color="auto" w:fill="FFFFFF"/>
            <w:tcMar>
              <w:top w:w="60" w:type="dxa"/>
              <w:left w:w="120" w:type="dxa"/>
              <w:bottom w:w="60" w:type="dxa"/>
              <w:right w:w="120" w:type="dxa"/>
            </w:tcMar>
          </w:tcPr>
          <w:p w:rsidR="00D47E56" w:rsidRDefault="00000000">
            <w:r>
              <w:rPr>
                <w:b/>
                <w:bCs/>
                <w:sz w:val="24"/>
                <w:szCs w:val="24"/>
              </w:rPr>
              <w:t>Tác động hành vi</w:t>
            </w:r>
          </w:p>
        </w:tc>
        <w:tc>
          <w:tcPr>
            <w:tcW w:w="2400" w:type="dxa"/>
            <w:shd w:val="clear" w:color="auto" w:fill="FFFFFF"/>
            <w:tcMar>
              <w:top w:w="60" w:type="dxa"/>
              <w:left w:w="120" w:type="dxa"/>
              <w:bottom w:w="60" w:type="dxa"/>
              <w:right w:w="120" w:type="dxa"/>
            </w:tcMar>
          </w:tcPr>
          <w:p w:rsidR="00D47E56" w:rsidRDefault="00034577">
            <w:pPr>
              <w:jc w:val="center"/>
            </w:pPr>
            <w:r>
              <w:rPr>
                <w:sz w:val="24"/>
                <w:szCs w:val="24"/>
              </w:rPr>
              <w:t>Khách du lịch &amp; hộ kinh doanh</w:t>
            </w:r>
          </w:p>
        </w:tc>
        <w:tc>
          <w:tcPr>
            <w:tcW w:w="2400" w:type="dxa"/>
            <w:shd w:val="clear" w:color="auto" w:fill="FFFFFF"/>
            <w:tcMar>
              <w:top w:w="60" w:type="dxa"/>
              <w:left w:w="120" w:type="dxa"/>
              <w:bottom w:w="60" w:type="dxa"/>
              <w:right w:w="120" w:type="dxa"/>
            </w:tcMar>
          </w:tcPr>
          <w:p w:rsidR="00D47E56" w:rsidRDefault="00000000">
            <w:pPr>
              <w:jc w:val="center"/>
            </w:pPr>
            <w:r>
              <w:rPr>
                <w:sz w:val="24"/>
                <w:szCs w:val="24"/>
              </w:rPr>
              <w:t>Chủ yếu nội bộ doanh nghiệp</w:t>
            </w:r>
          </w:p>
        </w:tc>
        <w:tc>
          <w:tcPr>
            <w:tcW w:w="2400" w:type="dxa"/>
            <w:shd w:val="clear" w:color="auto" w:fill="FFFFFF"/>
            <w:tcMar>
              <w:top w:w="60" w:type="dxa"/>
              <w:left w:w="120" w:type="dxa"/>
              <w:bottom w:w="60" w:type="dxa"/>
              <w:right w:w="120" w:type="dxa"/>
            </w:tcMar>
          </w:tcPr>
          <w:p w:rsidR="00D47E56" w:rsidRDefault="00000000">
            <w:pPr>
              <w:jc w:val="center"/>
            </w:pPr>
            <w:r>
              <w:rPr>
                <w:sz w:val="24"/>
                <w:szCs w:val="24"/>
              </w:rPr>
              <w:t xml:space="preserve">Cộng đồng &amp; </w:t>
            </w:r>
            <w:r w:rsidR="00034577">
              <w:rPr>
                <w:sz w:val="24"/>
                <w:szCs w:val="24"/>
              </w:rPr>
              <w:t>khách du lịch</w:t>
            </w:r>
          </w:p>
        </w:tc>
      </w:tr>
      <w:tr w:rsidR="00D47E56">
        <w:tc>
          <w:tcPr>
            <w:tcW w:w="2000" w:type="dxa"/>
            <w:shd w:val="clear" w:color="auto" w:fill="E8F5E9"/>
            <w:tcMar>
              <w:top w:w="60" w:type="dxa"/>
              <w:left w:w="120" w:type="dxa"/>
              <w:bottom w:w="60" w:type="dxa"/>
              <w:right w:w="120" w:type="dxa"/>
            </w:tcMar>
          </w:tcPr>
          <w:p w:rsidR="00D47E56" w:rsidRDefault="00000000">
            <w:r>
              <w:rPr>
                <w:b/>
                <w:bCs/>
                <w:sz w:val="24"/>
                <w:szCs w:val="24"/>
              </w:rPr>
              <w:lastRenderedPageBreak/>
              <w:t>Chi phí triển khai</w:t>
            </w:r>
          </w:p>
        </w:tc>
        <w:tc>
          <w:tcPr>
            <w:tcW w:w="2400" w:type="dxa"/>
            <w:shd w:val="clear" w:color="auto" w:fill="E8F5E9"/>
            <w:tcMar>
              <w:top w:w="60" w:type="dxa"/>
              <w:left w:w="120" w:type="dxa"/>
              <w:bottom w:w="60" w:type="dxa"/>
              <w:right w:w="120" w:type="dxa"/>
            </w:tcMar>
          </w:tcPr>
          <w:p w:rsidR="00D47E56" w:rsidRDefault="00000000">
            <w:pPr>
              <w:jc w:val="center"/>
            </w:pPr>
            <w:r>
              <w:rPr>
                <w:sz w:val="24"/>
                <w:szCs w:val="24"/>
              </w:rPr>
              <w:t xml:space="preserve">Trung bình </w:t>
            </w:r>
            <w:r w:rsidR="00034577">
              <w:rPr>
                <w:sz w:val="24"/>
                <w:szCs w:val="24"/>
              </w:rPr>
              <w:t>,</w:t>
            </w:r>
            <w:r>
              <w:rPr>
                <w:sz w:val="24"/>
                <w:szCs w:val="24"/>
              </w:rPr>
              <w:t xml:space="preserve"> cao</w:t>
            </w:r>
          </w:p>
        </w:tc>
        <w:tc>
          <w:tcPr>
            <w:tcW w:w="2400" w:type="dxa"/>
            <w:shd w:val="clear" w:color="auto" w:fill="E8F5E9"/>
            <w:tcMar>
              <w:top w:w="60" w:type="dxa"/>
              <w:left w:w="120" w:type="dxa"/>
              <w:bottom w:w="60" w:type="dxa"/>
              <w:right w:w="120" w:type="dxa"/>
            </w:tcMar>
          </w:tcPr>
          <w:p w:rsidR="00D47E56" w:rsidRDefault="00000000">
            <w:pPr>
              <w:jc w:val="center"/>
            </w:pPr>
            <w:r>
              <w:rPr>
                <w:sz w:val="24"/>
                <w:szCs w:val="24"/>
              </w:rPr>
              <w:t>Trung bình</w:t>
            </w:r>
          </w:p>
        </w:tc>
        <w:tc>
          <w:tcPr>
            <w:tcW w:w="2400" w:type="dxa"/>
            <w:shd w:val="clear" w:color="auto" w:fill="E8F5E9"/>
            <w:tcMar>
              <w:top w:w="60" w:type="dxa"/>
              <w:left w:w="120" w:type="dxa"/>
              <w:bottom w:w="60" w:type="dxa"/>
              <w:right w:w="120" w:type="dxa"/>
            </w:tcMar>
          </w:tcPr>
          <w:p w:rsidR="00D47E56" w:rsidRDefault="00000000">
            <w:pPr>
              <w:jc w:val="center"/>
            </w:pPr>
            <w:r>
              <w:rPr>
                <w:sz w:val="24"/>
                <w:szCs w:val="24"/>
              </w:rPr>
              <w:t xml:space="preserve">Thấp </w:t>
            </w:r>
            <w:r w:rsidR="00034577">
              <w:rPr>
                <w:sz w:val="24"/>
                <w:szCs w:val="24"/>
              </w:rPr>
              <w:t>,</w:t>
            </w:r>
            <w:r>
              <w:rPr>
                <w:sz w:val="24"/>
                <w:szCs w:val="24"/>
              </w:rPr>
              <w:t xml:space="preserve"> trung bình (dài hạn)</w:t>
            </w:r>
          </w:p>
        </w:tc>
      </w:tr>
      <w:tr w:rsidR="00D47E56">
        <w:tc>
          <w:tcPr>
            <w:tcW w:w="2000" w:type="dxa"/>
            <w:shd w:val="clear" w:color="auto" w:fill="FFFFFF"/>
            <w:tcMar>
              <w:top w:w="60" w:type="dxa"/>
              <w:left w:w="120" w:type="dxa"/>
              <w:bottom w:w="60" w:type="dxa"/>
              <w:right w:w="120" w:type="dxa"/>
            </w:tcMar>
          </w:tcPr>
          <w:p w:rsidR="00D47E56" w:rsidRDefault="00000000">
            <w:r>
              <w:rPr>
                <w:b/>
                <w:bCs/>
                <w:sz w:val="24"/>
                <w:szCs w:val="24"/>
              </w:rPr>
              <w:t>Khả năng nhân rộng</w:t>
            </w:r>
          </w:p>
        </w:tc>
        <w:tc>
          <w:tcPr>
            <w:tcW w:w="2400" w:type="dxa"/>
            <w:shd w:val="clear" w:color="auto" w:fill="FFFFFF"/>
            <w:tcMar>
              <w:top w:w="60" w:type="dxa"/>
              <w:left w:w="120" w:type="dxa"/>
              <w:bottom w:w="60" w:type="dxa"/>
              <w:right w:w="120" w:type="dxa"/>
            </w:tcMar>
          </w:tcPr>
          <w:p w:rsidR="00D47E56" w:rsidRDefault="00000000">
            <w:pPr>
              <w:jc w:val="center"/>
            </w:pPr>
            <w:r>
              <w:rPr>
                <w:sz w:val="24"/>
                <w:szCs w:val="24"/>
              </w:rPr>
              <w:t>Cao</w:t>
            </w:r>
          </w:p>
        </w:tc>
        <w:tc>
          <w:tcPr>
            <w:tcW w:w="2400" w:type="dxa"/>
            <w:shd w:val="clear" w:color="auto" w:fill="FFFFFF"/>
            <w:tcMar>
              <w:top w:w="60" w:type="dxa"/>
              <w:left w:w="120" w:type="dxa"/>
              <w:bottom w:w="60" w:type="dxa"/>
              <w:right w:w="120" w:type="dxa"/>
            </w:tcMar>
          </w:tcPr>
          <w:p w:rsidR="00D47E56" w:rsidRDefault="00000000">
            <w:pPr>
              <w:jc w:val="center"/>
            </w:pPr>
            <w:r>
              <w:rPr>
                <w:sz w:val="24"/>
                <w:szCs w:val="24"/>
              </w:rPr>
              <w:t>Cao</w:t>
            </w:r>
          </w:p>
        </w:tc>
        <w:tc>
          <w:tcPr>
            <w:tcW w:w="2400" w:type="dxa"/>
            <w:shd w:val="clear" w:color="auto" w:fill="FFFFFF"/>
            <w:tcMar>
              <w:top w:w="60" w:type="dxa"/>
              <w:left w:w="120" w:type="dxa"/>
              <w:bottom w:w="60" w:type="dxa"/>
              <w:right w:w="120" w:type="dxa"/>
            </w:tcMar>
          </w:tcPr>
          <w:p w:rsidR="00D47E56" w:rsidRDefault="00000000">
            <w:pPr>
              <w:jc w:val="center"/>
            </w:pPr>
            <w:r>
              <w:rPr>
                <w:sz w:val="24"/>
                <w:szCs w:val="24"/>
              </w:rPr>
              <w:t>Trung bình (phụ thuộc cộng đồng)</w:t>
            </w:r>
          </w:p>
        </w:tc>
      </w:tr>
      <w:tr w:rsidR="00D47E56">
        <w:tc>
          <w:tcPr>
            <w:tcW w:w="2000" w:type="dxa"/>
            <w:shd w:val="clear" w:color="auto" w:fill="E8F5E9"/>
            <w:tcMar>
              <w:top w:w="60" w:type="dxa"/>
              <w:left w:w="120" w:type="dxa"/>
              <w:bottom w:w="60" w:type="dxa"/>
              <w:right w:w="120" w:type="dxa"/>
            </w:tcMar>
          </w:tcPr>
          <w:p w:rsidR="00D47E56" w:rsidRDefault="00000000">
            <w:r>
              <w:rPr>
                <w:b/>
                <w:bCs/>
                <w:sz w:val="24"/>
                <w:szCs w:val="24"/>
              </w:rPr>
              <w:t>Điều kiện tiên quyết</w:t>
            </w:r>
          </w:p>
        </w:tc>
        <w:tc>
          <w:tcPr>
            <w:tcW w:w="2400" w:type="dxa"/>
            <w:shd w:val="clear" w:color="auto" w:fill="E8F5E9"/>
            <w:tcMar>
              <w:top w:w="60" w:type="dxa"/>
              <w:left w:w="120" w:type="dxa"/>
              <w:bottom w:w="60" w:type="dxa"/>
              <w:right w:w="120" w:type="dxa"/>
            </w:tcMar>
          </w:tcPr>
          <w:p w:rsidR="00D47E56" w:rsidRDefault="00000000">
            <w:pPr>
              <w:jc w:val="center"/>
            </w:pPr>
            <w:r>
              <w:rPr>
                <w:sz w:val="24"/>
                <w:szCs w:val="24"/>
              </w:rPr>
              <w:t>Hạ tầng, quản trị đa chủ thể</w:t>
            </w:r>
          </w:p>
        </w:tc>
        <w:tc>
          <w:tcPr>
            <w:tcW w:w="2400" w:type="dxa"/>
            <w:shd w:val="clear" w:color="auto" w:fill="E8F5E9"/>
            <w:tcMar>
              <w:top w:w="60" w:type="dxa"/>
              <w:left w:w="120" w:type="dxa"/>
              <w:bottom w:w="60" w:type="dxa"/>
              <w:right w:w="120" w:type="dxa"/>
            </w:tcMar>
          </w:tcPr>
          <w:p w:rsidR="00D47E56" w:rsidRDefault="00000000">
            <w:pPr>
              <w:jc w:val="center"/>
            </w:pPr>
            <w:r>
              <w:rPr>
                <w:sz w:val="24"/>
                <w:szCs w:val="24"/>
              </w:rPr>
              <w:t>Vốn đầu tư, năng lực quản lý</w:t>
            </w:r>
          </w:p>
        </w:tc>
        <w:tc>
          <w:tcPr>
            <w:tcW w:w="2400" w:type="dxa"/>
            <w:shd w:val="clear" w:color="auto" w:fill="E8F5E9"/>
            <w:tcMar>
              <w:top w:w="60" w:type="dxa"/>
              <w:left w:w="120" w:type="dxa"/>
              <w:bottom w:w="60" w:type="dxa"/>
              <w:right w:w="120" w:type="dxa"/>
            </w:tcMar>
          </w:tcPr>
          <w:p w:rsidR="00D47E56" w:rsidRDefault="00000000">
            <w:pPr>
              <w:jc w:val="center"/>
            </w:pPr>
            <w:r>
              <w:rPr>
                <w:sz w:val="24"/>
                <w:szCs w:val="24"/>
              </w:rPr>
              <w:t>Năng lực cộng đồng, thể chế bảo tồn</w:t>
            </w:r>
          </w:p>
        </w:tc>
      </w:tr>
    </w:tbl>
    <w:p w:rsidR="00D47E56" w:rsidRDefault="00000000" w:rsidP="00034577">
      <w:pPr>
        <w:spacing w:before="80" w:after="200"/>
        <w:jc w:val="center"/>
      </w:pPr>
      <w:r>
        <w:rPr>
          <w:i/>
          <w:iCs/>
          <w:sz w:val="24"/>
          <w:szCs w:val="24"/>
        </w:rPr>
        <w:t>Bảng 1. So sánh ba mô hình du lịch xanh theo tiêu chí chuyển đổi hành vi và quản trị</w:t>
      </w:r>
    </w:p>
    <w:p w:rsidR="00D47E56" w:rsidRPr="00034577" w:rsidRDefault="00000000" w:rsidP="00034577">
      <w:pPr>
        <w:pStyle w:val="Heading1"/>
        <w:spacing w:before="0" w:after="0" w:line="400" w:lineRule="atLeast"/>
        <w:jc w:val="both"/>
        <w:rPr>
          <w:sz w:val="26"/>
          <w:szCs w:val="26"/>
        </w:rPr>
      </w:pPr>
      <w:r w:rsidRPr="00034577">
        <w:rPr>
          <w:sz w:val="26"/>
          <w:szCs w:val="26"/>
        </w:rPr>
        <w:t>4. KHẢ NĂNG ỨNG DỤNG CÁC MÔ HÌNH DU LỊCH XANH TẠI TỈNH THANH HÓA</w:t>
      </w:r>
    </w:p>
    <w:p w:rsidR="00D47E56" w:rsidRPr="00034577" w:rsidRDefault="00000000" w:rsidP="00034577">
      <w:pPr>
        <w:pStyle w:val="Heading2"/>
        <w:spacing w:before="0" w:after="0" w:line="400" w:lineRule="atLeast"/>
      </w:pPr>
      <w:r w:rsidRPr="00034577">
        <w:t>4.1. Điều kiện phát triển du lịch xanh tại Thanh Hóa</w:t>
      </w:r>
    </w:p>
    <w:p w:rsidR="00D47E56" w:rsidRPr="00034577" w:rsidRDefault="00000000" w:rsidP="00034577">
      <w:pPr>
        <w:pStyle w:val="Heading3"/>
        <w:spacing w:before="0" w:after="0" w:line="400" w:lineRule="atLeast"/>
      </w:pPr>
      <w:r w:rsidRPr="00034577">
        <w:t>4.1.1. Tài nguyên du lịch tự nhiên</w:t>
      </w:r>
    </w:p>
    <w:p w:rsidR="00D47E56" w:rsidRPr="00034577" w:rsidRDefault="00000000" w:rsidP="00034577">
      <w:pPr>
        <w:spacing w:line="400" w:lineRule="atLeast"/>
        <w:ind w:firstLine="720"/>
        <w:jc w:val="both"/>
      </w:pPr>
      <w:r w:rsidRPr="00034577">
        <w:t>Thanh Hóa sở hữu hệ thống tài nguyên du lịch tự nhiên phong phú và đa dạng. Khu bảo tồn thiên nhiên Pù Luông với diện tích 17.171 ha là mái nhà của nhiều loài động thực vật quý hiếm, đồng thời cung cấp cảnh quan ruộng bậc thang đặc trưng của vùng núi Tây Bắc. Khu bảo tồn biển Hòn Mê với hệ sinh thái san hô còn tương đối nguyên vẹn là tiềm năng lớn cho du lịch biển xanh. Bãi biển Hải Tiến đang định vị như khu du lịch cao cấp với định hướng phát triển xanh, trong khi Sầm Sơn là điểm đến biển đại chúng lớn nhất miền Bắc. Suối cá thần Cẩm Lương với loài cá "thần" sống hàng nghìn con trong lòng suối là điểm du lịch sinh thái độc đáo.</w:t>
      </w:r>
    </w:p>
    <w:p w:rsidR="00D47E56" w:rsidRPr="00034577" w:rsidRDefault="00000000" w:rsidP="00034577">
      <w:pPr>
        <w:pStyle w:val="Heading3"/>
        <w:spacing w:before="0" w:after="0" w:line="400" w:lineRule="atLeast"/>
      </w:pPr>
      <w:r w:rsidRPr="00034577">
        <w:t>4.1.2. Tài nguyên du lịch văn hóa</w:t>
      </w:r>
    </w:p>
    <w:p w:rsidR="00D47E56" w:rsidRPr="00034577" w:rsidRDefault="00000000" w:rsidP="00034577">
      <w:pPr>
        <w:spacing w:line="400" w:lineRule="atLeast"/>
        <w:ind w:firstLine="720"/>
        <w:jc w:val="both"/>
      </w:pPr>
      <w:r w:rsidRPr="00034577">
        <w:t>Về tài nguyên văn hóa, Thanh Hóa có hai di sản văn hóa thế giới và di tích quốc gia đặc biệt: Thành Nhà Hồ (Di sản Văn hóa Thế giới UNESCO từ năm 2011) và Khu di tích lịch sử Lam Kinh. Lam Kinh là nơi phát tích của nhà Lê Sơ, lưu giữ kiến trúc cung đình cổ, hệ thống lăng tẩm và không gian rừng già nguyên sinh đặc biệt quý giá. Ngoài ra, hệ thống lễ hội truyền thống phong phú</w:t>
      </w:r>
      <w:r w:rsidR="00034577" w:rsidRPr="00034577">
        <w:t>,</w:t>
      </w:r>
      <w:r w:rsidRPr="00034577">
        <w:t xml:space="preserve"> lễ hội Lam Kinh, lễ hội Đền Bà Triệu, lễ hội Phủ Na</w:t>
      </w:r>
      <w:r w:rsidR="00034577" w:rsidRPr="00034577">
        <w:t>,</w:t>
      </w:r>
      <w:r w:rsidRPr="00034577">
        <w:t xml:space="preserve"> cùng các làng nghề truyền thống tạo thành nguồn tài nguyên văn hóa phi vật thể đặc sắc.</w:t>
      </w:r>
    </w:p>
    <w:p w:rsidR="00D47E56" w:rsidRPr="00034577" w:rsidRDefault="00000000" w:rsidP="00034577">
      <w:pPr>
        <w:pStyle w:val="Heading3"/>
        <w:spacing w:before="0" w:after="0" w:line="400" w:lineRule="atLeast"/>
      </w:pPr>
      <w:r w:rsidRPr="00034577">
        <w:t>4.1.3. Hệ thống cơ sở lưu trú và thực trạng phát triển</w:t>
      </w:r>
    </w:p>
    <w:p w:rsidR="00D47E56" w:rsidRPr="00034577" w:rsidRDefault="00000000" w:rsidP="00034577">
      <w:pPr>
        <w:spacing w:line="400" w:lineRule="atLeast"/>
        <w:ind w:firstLine="720"/>
        <w:jc w:val="both"/>
      </w:pPr>
      <w:r w:rsidRPr="00034577">
        <w:t>Theo số liệu từ Sở Du lịch Thanh Hóa, toàn tỉnh có hơn 1.200 cơ sở lưu trú du lịch với khoảng 55.000 buồng phòng (2024). Tuy nhiên, tỷ lệ cơ sở đạt tiêu chuẩn xanh còn rất thấp</w:t>
      </w:r>
      <w:r w:rsidR="00034577" w:rsidRPr="00034577">
        <w:t>,</w:t>
      </w:r>
      <w:r w:rsidRPr="00034577">
        <w:t xml:space="preserve"> chưa có cơ sở nào đạt chứng nhận Green Key hay ASEAN Green Hotel chính thức. Lượng khách du lịch đến Thanh Hóa đạt khoảng 14,5 triệu lượt năm 2023, </w:t>
      </w:r>
      <w:r w:rsidRPr="00034577">
        <w:lastRenderedPageBreak/>
        <w:t>chủ yếu tập trung vào mùa hè tại các điểm biển, tạo ra áp lực môi trường lớn trong thời gian ngắn.</w:t>
      </w:r>
    </w:p>
    <w:p w:rsidR="00D47E56" w:rsidRPr="00034577" w:rsidRDefault="00000000" w:rsidP="00034577">
      <w:pPr>
        <w:pStyle w:val="Heading2"/>
        <w:spacing w:before="0" w:after="0" w:line="400" w:lineRule="atLeast"/>
      </w:pPr>
      <w:r w:rsidRPr="00034577">
        <w:t>4.2. Khả năng ứng dụng mô hình khách sạn xanh</w:t>
      </w:r>
    </w:p>
    <w:p w:rsidR="00D47E56" w:rsidRPr="00034577" w:rsidRDefault="00000000" w:rsidP="00034577">
      <w:pPr>
        <w:spacing w:line="400" w:lineRule="atLeast"/>
        <w:ind w:firstLine="720"/>
        <w:jc w:val="both"/>
      </w:pPr>
      <w:r w:rsidRPr="00034577">
        <w:t>Khu vực Sầm Sơn và Hải Tiến có mật độ cơ sở lưu trú cao nhất tỉnh với nhiều khách sạn từ 3</w:t>
      </w:r>
      <w:r w:rsidR="002C5312">
        <w:rPr>
          <w:lang w:val="vi-VN"/>
        </w:rPr>
        <w:t xml:space="preserve"> - </w:t>
      </w:r>
      <w:r w:rsidRPr="00034577">
        <w:t>5 sao đang trong giai đoạn xây dựng hoặc vừa đưa vào hoạt động</w:t>
      </w:r>
      <w:r w:rsidR="00034577" w:rsidRPr="00034577">
        <w:t>,</w:t>
      </w:r>
      <w:r w:rsidRPr="00034577">
        <w:t xml:space="preserve"> đây là thời điểm thuận lợi nhất để tích hợp tiêu chuẩn xanh vào thiết kế và vận hành. Thuận lợi chính gồm: xu hướng khách nước ngoài tại Hải Tiến ngày càng đòi hỏi tiêu chuẩn môi trường cao hơn; một số tập đoàn lưu trú lớn đang đầu tư vào khu vực đã có kinh nghiệm triển khai tiêu chuẩn xanh ở các địa bàn khác.</w:t>
      </w:r>
    </w:p>
    <w:p w:rsidR="00D47E56" w:rsidRPr="00034577" w:rsidRDefault="00000000" w:rsidP="00034577">
      <w:pPr>
        <w:spacing w:line="400" w:lineRule="atLeast"/>
        <w:ind w:firstLine="720"/>
        <w:jc w:val="both"/>
      </w:pPr>
      <w:r w:rsidRPr="00034577">
        <w:t>Khó khăn chủ yếu gồm: nhận thức của chủ cơ sở lưu trú nhỏ và vừa về lợi ích của chứng nhận xanh còn hạn chế; chi phí đầu tư ban đầu cho hệ thống năng lượng tái tạo, xử lý nước và phân loại rác thải còn cao so với khả năng tài chính của nhiều doanh nghiệp; thiếu đội ngũ tư vấn và kiểm toán xanh tại địa phương.</w:t>
      </w:r>
    </w:p>
    <w:p w:rsidR="00D47E56" w:rsidRPr="00034577" w:rsidRDefault="00000000" w:rsidP="00034577">
      <w:pPr>
        <w:pStyle w:val="Heading2"/>
        <w:spacing w:before="0" w:after="0" w:line="400" w:lineRule="atLeast"/>
      </w:pPr>
      <w:r w:rsidRPr="00034577">
        <w:t>4.3. Khả năng ứng dụng mô hình du lịch cộng đồng gắn với bảo tồn</w:t>
      </w:r>
    </w:p>
    <w:p w:rsidR="00D47E56" w:rsidRPr="00034577" w:rsidRDefault="00000000" w:rsidP="00034577">
      <w:pPr>
        <w:spacing w:line="400" w:lineRule="atLeast"/>
        <w:ind w:firstLine="720"/>
        <w:jc w:val="both"/>
      </w:pPr>
      <w:r w:rsidRPr="00034577">
        <w:t>Khu vực miền núi Thanh Hóa</w:t>
      </w:r>
      <w:r w:rsidR="00034577" w:rsidRPr="00034577">
        <w:t>,</w:t>
      </w:r>
      <w:r w:rsidRPr="00034577">
        <w:t xml:space="preserve"> đặc biệt các huyện Bá Thước (Pù Luông), Quan Sơn, Lang Chánh và Quan Hóa</w:t>
      </w:r>
      <w:r w:rsidR="00034577" w:rsidRPr="00034577">
        <w:t>,</w:t>
      </w:r>
      <w:r w:rsidRPr="00034577">
        <w:t xml:space="preserve"> là địa bàn phù hợp nhất với mô hình CBCT. Cộng đồng dân tộc Thái, Mường, Dao và H'Mông tại đây đang gìn giữ nhiều nét văn hóa truyền thống đặc sắc và có kiến thức bản địa sâu sắc về hệ sinh thái rừng núi.</w:t>
      </w:r>
    </w:p>
    <w:p w:rsidR="00D47E56" w:rsidRPr="00034577" w:rsidRDefault="00000000" w:rsidP="00034577">
      <w:pPr>
        <w:spacing w:line="400" w:lineRule="atLeast"/>
        <w:ind w:firstLine="720"/>
        <w:jc w:val="both"/>
      </w:pPr>
      <w:r w:rsidRPr="00034577">
        <w:t>Mô hình homestay cộng đồng tại Pù Luông đã được triển khai và bước đầu cho thấy kết quả khả quan: thu nhập của người dân tham gia tăng đáng kể, áp lực săn bắt và khai thác lâm sản giảm. Tuy nhiên, để nhân rộng cần giải quyết một số thách thức: năng lực quản lý và tiếp thị của cộng đồng còn hạn chế; thiếu liên kết với các công ty lữ hành để đảm bảo nguồn khách ổn định; rủi ro thương mại hóa văn hóa nếu không có cơ chế bảo vệ phù hợp.</w:t>
      </w:r>
    </w:p>
    <w:p w:rsidR="00D47E56" w:rsidRPr="00034577" w:rsidRDefault="00000000" w:rsidP="00034577">
      <w:pPr>
        <w:pStyle w:val="Heading2"/>
        <w:spacing w:before="0" w:after="0" w:line="400" w:lineRule="atLeast"/>
      </w:pPr>
      <w:r w:rsidRPr="00034577">
        <w:t>4.4. Khả năng ứng dụng mô hình du lịch không rác thải</w:t>
      </w:r>
    </w:p>
    <w:p w:rsidR="00D47E56" w:rsidRPr="00034577" w:rsidRDefault="00000000" w:rsidP="00034577">
      <w:pPr>
        <w:spacing w:line="400" w:lineRule="atLeast"/>
        <w:ind w:firstLine="720"/>
        <w:jc w:val="both"/>
      </w:pPr>
      <w:r w:rsidRPr="00034577">
        <w:t>Trong ba mô hình, du lịch không rác thải có tính khả thi cao nhất để triển khai thí điểm tại Thanh Hóa trong giai đoạn hiện nay, vì bốn lý do: (1) Tính cấp bách</w:t>
      </w:r>
      <w:r w:rsidR="00034577" w:rsidRPr="00034577">
        <w:t>,</w:t>
      </w:r>
      <w:r w:rsidRPr="00034577">
        <w:t xml:space="preserve"> vấn đề rác thải du lịch tại Sầm Sơn và các điểm biển khác đang ở mức báo động, tạo ra nhu cầu và động lực chính trị rõ ràng cho hành động; (2) Tính đo lường</w:t>
      </w:r>
      <w:r w:rsidR="00034577" w:rsidRPr="00034577">
        <w:t>,</w:t>
      </w:r>
      <w:r w:rsidRPr="00034577">
        <w:t xml:space="preserve"> kết quả có thể định lượng và theo dõi trong thời gian ngắn, giúp dễ dàng đánh giá hiệu quả và vận động chính sách; (3) Tính nhân rộng</w:t>
      </w:r>
      <w:r w:rsidR="00034577" w:rsidRPr="00034577">
        <w:t>,</w:t>
      </w:r>
      <w:r w:rsidRPr="00034577">
        <w:t xml:space="preserve"> khi được triển khai thành công ở một điểm, mô hình có thể dễ dàng nhân rộng sang các điểm đến khác trong tỉnh; (4) Tính biểu tượng</w:t>
      </w:r>
      <w:r w:rsidR="00034577" w:rsidRPr="00034577">
        <w:t>,</w:t>
      </w:r>
      <w:r w:rsidRPr="00034577">
        <w:t xml:space="preserve"> một mô hình Zero</w:t>
      </w:r>
      <w:r w:rsidR="00034577" w:rsidRPr="00034577">
        <w:t>,</w:t>
      </w:r>
      <w:r w:rsidRPr="00034577">
        <w:t>Waste tại điểm di tích lịch sử quốc gia sẽ tạo ra hình ảnh và thông điệp mạnh mẽ về cam kết xanh của Thanh Hóa.</w:t>
      </w:r>
    </w:p>
    <w:p w:rsidR="00D47E56" w:rsidRPr="00034577" w:rsidRDefault="00000000" w:rsidP="00034577">
      <w:pPr>
        <w:pStyle w:val="Heading2"/>
        <w:spacing w:before="0" w:after="0" w:line="400" w:lineRule="atLeast"/>
      </w:pPr>
      <w:r w:rsidRPr="00034577">
        <w:lastRenderedPageBreak/>
        <w:t>4.5. Lựa chọn mô hình ưu tiên và cơ sở lựa chọn Lam Kinh</w:t>
      </w:r>
    </w:p>
    <w:p w:rsidR="00D47E56" w:rsidRPr="00034577" w:rsidRDefault="00000000" w:rsidP="00034577">
      <w:pPr>
        <w:spacing w:line="400" w:lineRule="atLeast"/>
        <w:ind w:firstLine="720"/>
        <w:jc w:val="both"/>
      </w:pPr>
      <w:r w:rsidRPr="00034577">
        <w:t>Dựa trên phân tích so sánh các tiêu chí gồm tính khả thi, chi phí, tác động xã hội, tác động môi trường và khả năng nhân rộng, bài viết đề xuất ưu tiên triển khai mô hình du lịch không rác thải tại Khu di tích lịch sử Lam Kinh làm điểm thí điểm chiến lược đầu tiên. Lý do lựa chọn Lam Kinh thay vì các điểm biển dựa trên bốn yếu tố: (1) Đặc điểm không gian khép kín với ranh giới rõ ràng, thuận lợi cho quản lý và kiểm soát lượng khách cũng như dòng rác thải; (2) Ban Quản lý di tích có năng lực thể chế và thẩm quyền quản lý tập trung; (3) Tính biểu tượng của di tích quốc gia đặc biệt tạo sức lan tỏa cao cho mô hình; (4) Lưu lượng khách vừa phải và phân bố đều hơn quanh năm so với biển, phù hợp cho giai đoạn thí điểm.</w:t>
      </w:r>
    </w:p>
    <w:p w:rsidR="00D47E56" w:rsidRPr="00034577" w:rsidRDefault="00D47E56" w:rsidP="00034577">
      <w:pPr>
        <w:spacing w:line="400" w:lineRule="atLeast"/>
        <w:jc w:val="both"/>
      </w:pPr>
    </w:p>
    <w:p w:rsidR="00D47E56" w:rsidRPr="00034577" w:rsidRDefault="00000000" w:rsidP="00034577">
      <w:pPr>
        <w:pStyle w:val="Heading1"/>
        <w:spacing w:before="0" w:after="0" w:line="400" w:lineRule="atLeast"/>
        <w:jc w:val="center"/>
        <w:rPr>
          <w:sz w:val="26"/>
          <w:szCs w:val="26"/>
        </w:rPr>
      </w:pPr>
      <w:r w:rsidRPr="00034577">
        <w:rPr>
          <w:sz w:val="26"/>
          <w:szCs w:val="26"/>
        </w:rPr>
        <w:t>5. ĐỊNH HƯỚNG XÂY DỰNG MÔ HÌNH DU LỊCH KHÔNG RÁC THẢI TẠI KHU DI TÍCH QUỐC GIA ĐẶC BIỆT LAM KINH</w:t>
      </w:r>
    </w:p>
    <w:p w:rsidR="00D47E56" w:rsidRPr="00034577" w:rsidRDefault="00000000" w:rsidP="00034577">
      <w:pPr>
        <w:pStyle w:val="Heading2"/>
        <w:spacing w:before="0" w:after="0" w:line="400" w:lineRule="atLeast"/>
      </w:pPr>
      <w:r w:rsidRPr="00034577">
        <w:t>5.1. Quan điểm và tiếp cận xây dựng mô hình</w:t>
      </w:r>
    </w:p>
    <w:p w:rsidR="00D47E56" w:rsidRPr="00034577" w:rsidRDefault="00000000" w:rsidP="00034577">
      <w:pPr>
        <w:spacing w:line="400" w:lineRule="atLeast"/>
        <w:ind w:firstLine="720"/>
        <w:jc w:val="both"/>
      </w:pPr>
      <w:r w:rsidRPr="00034577">
        <w:t>Mô hình đề xuất dựa trên bốn quan điểm tiếp cận tích hợp: (1) Tiếp cận hệ thống</w:t>
      </w:r>
      <w:r w:rsidR="00034577" w:rsidRPr="00034577">
        <w:t>,</w:t>
      </w:r>
      <w:r w:rsidRPr="00034577">
        <w:t xml:space="preserve"> nhìn nhận Lam Kinh như một hệ thống du lịch hoàn chỉnh với các luồng vật chất (rác thải, nước, năng lượng), luồng người (</w:t>
      </w:r>
      <w:r w:rsidR="00034577" w:rsidRPr="00034577">
        <w:t>khách du lịch</w:t>
      </w:r>
      <w:r w:rsidRPr="00034577">
        <w:t>, nhân viên, cư dân) và luồng thông tin (giáo dục, truyền thông) cần được quản lý đồng bộ; (2) Tiếp cận đa chủ thể</w:t>
      </w:r>
      <w:r w:rsidR="00034577" w:rsidRPr="00034577">
        <w:t>,</w:t>
      </w:r>
      <w:r w:rsidRPr="00034577">
        <w:t xml:space="preserve"> xác định năm nhóm chủ thể cần tham gia: Ban quản lý di tích, chính quyền địa phương, hộ kinh doanh dịch vụ, cộng đồng dân cư xung quanh và </w:t>
      </w:r>
      <w:r w:rsidR="00034577" w:rsidRPr="00034577">
        <w:t>khách du lịch</w:t>
      </w:r>
      <w:r w:rsidRPr="00034577">
        <w:t xml:space="preserve">; (3) Tiếp cận hành vi </w:t>
      </w:r>
      <w:r w:rsidR="00034577" w:rsidRPr="00034577">
        <w:t>,</w:t>
      </w:r>
      <w:r w:rsidRPr="00034577">
        <w:t xml:space="preserve"> đặt thay đổi hành vi làm kết quả trung gian cốt lõi, bên cạnh các kết quả môi trường; (4) Tiếp cận quản trị điểm đến</w:t>
      </w:r>
      <w:r w:rsidR="00034577" w:rsidRPr="00034577">
        <w:t>,</w:t>
      </w:r>
      <w:r w:rsidRPr="00034577">
        <w:t xml:space="preserve"> xây dựng cơ chế phối hợp, giám sát và đánh giá có sự tham gia của đa bên.</w:t>
      </w:r>
    </w:p>
    <w:p w:rsidR="00D47E56" w:rsidRPr="00034577" w:rsidRDefault="00000000" w:rsidP="00034577">
      <w:pPr>
        <w:pStyle w:val="Heading2"/>
        <w:spacing w:before="0" w:after="0" w:line="400" w:lineRule="atLeast"/>
      </w:pPr>
      <w:r w:rsidRPr="00034577">
        <w:t>5.2. Khung mô hình đề xuất</w:t>
      </w:r>
    </w:p>
    <w:p w:rsidR="00D47E56" w:rsidRPr="00034577" w:rsidRDefault="00000000" w:rsidP="00034577">
      <w:pPr>
        <w:spacing w:line="400" w:lineRule="atLeast"/>
        <w:ind w:firstLine="720"/>
        <w:jc w:val="both"/>
      </w:pPr>
      <w:r w:rsidRPr="00034577">
        <w:t>Mô hình du lịch không rác thải tại Lam Kinh được tổ chức xung quanh mục tiêu trung tâm là "hành vi du lịch xanh"</w:t>
      </w:r>
      <w:r w:rsidR="00034577" w:rsidRPr="00034577">
        <w:t>,</w:t>
      </w:r>
      <w:r w:rsidRPr="00034577">
        <w:t xml:space="preserve"> trong đó mỗi chủ thể thực hiện các hành động cụ thể hướng đến ba kết quả: giảm rác thải, cảnh quan xanh và trải nghiệm du lịch chất lượng gắn với bảo tồn giá trị di sản. Mô hình hoạt động qua sáu hợp phần tích hợp:</w:t>
      </w:r>
    </w:p>
    <w:p w:rsidR="00D47E56" w:rsidRPr="00034577" w:rsidRDefault="00000000" w:rsidP="00034577">
      <w:pPr>
        <w:pStyle w:val="Heading3"/>
        <w:spacing w:before="0" w:after="0" w:line="400" w:lineRule="atLeast"/>
      </w:pPr>
      <w:r w:rsidRPr="00034577">
        <w:t>5.2.1. Hợp phần giảm phát sinh rác thải</w:t>
      </w:r>
    </w:p>
    <w:p w:rsidR="00D47E56" w:rsidRPr="00034577" w:rsidRDefault="00000000" w:rsidP="00034577">
      <w:pPr>
        <w:spacing w:line="400" w:lineRule="atLeast"/>
        <w:ind w:firstLine="720"/>
        <w:jc w:val="both"/>
      </w:pPr>
      <w:r w:rsidRPr="00034577">
        <w:t>Triển khai hệ thống "zero single</w:t>
      </w:r>
      <w:r w:rsidR="00034577" w:rsidRPr="00034577">
        <w:t>,</w:t>
      </w:r>
      <w:r w:rsidRPr="00034577">
        <w:t xml:space="preserve">use plastics" trong toàn bộ không gian di tích: thay thế túi ni lông bằng túi vải hoặc giấy tái chế tại tất cả điểm bán hàng; cung cấp bình nước tái sử dụng cho </w:t>
      </w:r>
      <w:r w:rsidR="00034577" w:rsidRPr="00034577">
        <w:t>khách du lịch</w:t>
      </w:r>
      <w:r w:rsidRPr="00034577">
        <w:t>; loại bỏ hoàn toàn đồ dùng nhựa một lần tại các quầy ẩm thực. Quy định phân loại rác tại nguồn bắt buộc áp dụng cho tất cả hộ kinh doanh trong phạm vi di tích.</w:t>
      </w:r>
    </w:p>
    <w:p w:rsidR="00D47E56" w:rsidRPr="00034577" w:rsidRDefault="00000000" w:rsidP="00034577">
      <w:pPr>
        <w:pStyle w:val="Heading3"/>
        <w:spacing w:before="0" w:after="0" w:line="400" w:lineRule="atLeast"/>
      </w:pPr>
      <w:r w:rsidRPr="00034577">
        <w:lastRenderedPageBreak/>
        <w:t>5.2.2. Hợp phần phân loại và thu gom rác hiệu quả</w:t>
      </w:r>
    </w:p>
    <w:p w:rsidR="00D47E56" w:rsidRPr="00034577" w:rsidRDefault="00000000" w:rsidP="00034577">
      <w:pPr>
        <w:spacing w:line="400" w:lineRule="atLeast"/>
        <w:ind w:firstLine="720"/>
        <w:jc w:val="both"/>
      </w:pPr>
      <w:r w:rsidRPr="00034577">
        <w:t>Lắp đặt hệ thống thùng rác phân loại ba màu (hữu cơ, tái chế, còn lại) tại tất cả điểm có người tập trung; xây dựng trạm thu gom tập trung tại cổng ra vào; thiết lập lịch thu gom cố định và hợp tác với đơn vị xử lý rác thải có năng lực tái chế. Đặc biệt, thiết kế hệ thống thu gom hài hòa với cảnh quan di tích, không làm ảnh hưởng đến giá trị thẩm mỹ và lịch sử của không gian.</w:t>
      </w:r>
    </w:p>
    <w:p w:rsidR="00D47E56" w:rsidRPr="00034577" w:rsidRDefault="00000000" w:rsidP="00034577">
      <w:pPr>
        <w:pStyle w:val="Heading3"/>
        <w:spacing w:before="0" w:after="0" w:line="400" w:lineRule="atLeast"/>
      </w:pPr>
      <w:r w:rsidRPr="00034577">
        <w:t>5.2.3. Hợp phần truyền thông và giáo dục hành vi xanh</w:t>
      </w:r>
    </w:p>
    <w:p w:rsidR="00D47E56" w:rsidRPr="00034577" w:rsidRDefault="00000000" w:rsidP="00034577">
      <w:pPr>
        <w:spacing w:line="400" w:lineRule="atLeast"/>
        <w:ind w:firstLine="720"/>
        <w:jc w:val="both"/>
      </w:pPr>
      <w:r w:rsidRPr="00034577">
        <w:t>Xây dựng chương trình giáo dục môi trường tích hợp vào tour tham quan: hướng dẫn viên được đào tạo để lồng ghép thông điệp xanh vào diễn giải lịch sử; bảng diễn giải song ngữ về cam kết Zero</w:t>
      </w:r>
      <w:r w:rsidR="00034577" w:rsidRPr="00034577">
        <w:t>,</w:t>
      </w:r>
      <w:r w:rsidRPr="00034577">
        <w:t>Waste tại các điểm tham quan; chương trình "</w:t>
      </w:r>
      <w:r w:rsidR="00034577" w:rsidRPr="00034577">
        <w:t>Khách du lịch</w:t>
      </w:r>
      <w:r w:rsidRPr="00034577">
        <w:t xml:space="preserve"> xanh Lam Kinh" với phần thưởng biểu trưng cho </w:t>
      </w:r>
      <w:r w:rsidR="00034577" w:rsidRPr="00034577">
        <w:t>khách du lịch</w:t>
      </w:r>
      <w:r w:rsidRPr="00034577">
        <w:t xml:space="preserve"> tham gia phân loại rác đúng cách. Chiến dịch truyền thông trên mạng xã hội tập trung vào câu chuyện bảo tồn, kết nối giá trị lịch sử của Lam Kinh với trách nhiệm bảo vệ di sản cho thế hệ tương lai.</w:t>
      </w:r>
    </w:p>
    <w:p w:rsidR="00D47E56" w:rsidRPr="00034577" w:rsidRDefault="00000000" w:rsidP="00034577">
      <w:pPr>
        <w:pStyle w:val="Heading3"/>
        <w:spacing w:before="0" w:after="0" w:line="400" w:lineRule="atLeast"/>
      </w:pPr>
      <w:r w:rsidRPr="00034577">
        <w:t>5.2.4. Hợp phần huy động sự tham gia cộng đồng</w:t>
      </w:r>
    </w:p>
    <w:p w:rsidR="00D47E56" w:rsidRPr="00034577" w:rsidRDefault="00000000" w:rsidP="00034577">
      <w:pPr>
        <w:spacing w:line="400" w:lineRule="atLeast"/>
        <w:ind w:firstLine="720"/>
        <w:jc w:val="both"/>
      </w:pPr>
      <w:r w:rsidRPr="00034577">
        <w:t xml:space="preserve">Thành lập nhóm "Đại sứ xanh Lam Kinh" từ cộng đồng dân cư và hộ kinh doanh xung quanh di tích; tổ chức các buổi dọn rác định kỳ có sự tham gia của </w:t>
      </w:r>
      <w:r w:rsidR="00034577" w:rsidRPr="00034577">
        <w:t>khách du lịch</w:t>
      </w:r>
      <w:r w:rsidRPr="00034577">
        <w:t>, học sinh và cộng đồng; xây dựng cơ chế chia sẻ lợi ích từ phí môi trường (nếu áp dụng) cho hoạt động bảo tồn và hỗ trợ sinh kế cộng đồng địa phương.</w:t>
      </w:r>
    </w:p>
    <w:p w:rsidR="00D47E56" w:rsidRPr="00034577" w:rsidRDefault="00000000" w:rsidP="00034577">
      <w:pPr>
        <w:pStyle w:val="Heading3"/>
        <w:spacing w:before="0" w:after="0" w:line="400" w:lineRule="atLeast"/>
      </w:pPr>
      <w:r w:rsidRPr="00034577">
        <w:t>5.2.5. Hợp phần giám sát và đánh giá</w:t>
      </w:r>
    </w:p>
    <w:p w:rsidR="00D47E56" w:rsidRPr="00034577" w:rsidRDefault="00000000" w:rsidP="00034577">
      <w:pPr>
        <w:spacing w:line="400" w:lineRule="atLeast"/>
        <w:ind w:firstLine="720"/>
        <w:jc w:val="both"/>
      </w:pPr>
      <w:r w:rsidRPr="00034577">
        <w:t xml:space="preserve">Thiết lập bộ chỉ số </w:t>
      </w:r>
      <w:r w:rsidR="00034577">
        <w:t xml:space="preserve">du lịch không rác thải </w:t>
      </w:r>
      <w:r w:rsidR="00034577">
        <w:rPr>
          <w:lang w:val="vi-VN"/>
        </w:rPr>
        <w:t>(</w:t>
      </w:r>
      <w:r w:rsidRPr="00034577">
        <w:t>Zero</w:t>
      </w:r>
      <w:r w:rsidR="00034577" w:rsidRPr="00034577">
        <w:t>,</w:t>
      </w:r>
      <w:r w:rsidRPr="00034577">
        <w:t>Waste Index</w:t>
      </w:r>
      <w:r w:rsidR="00034577">
        <w:rPr>
          <w:lang w:val="vi-VN"/>
        </w:rPr>
        <w:t xml:space="preserve">: </w:t>
      </w:r>
      <w:r w:rsidRPr="00034577">
        <w:t xml:space="preserve">ZWI) gồm: (1) Tổng lượng rác thải phát sinh/lượt khách/tháng; (2) Tỷ lệ rác thải được tái chế/tái sử dụng; (3) Tỷ lệ </w:t>
      </w:r>
      <w:r w:rsidR="00034577" w:rsidRPr="00034577">
        <w:t>khách du lịch</w:t>
      </w:r>
      <w:r w:rsidRPr="00034577">
        <w:t xml:space="preserve"> thực hiện phân loại rác đúng cách (đo qua khảo sát); (4) Số lượng hộ kinh doanh đạt tiêu chuẩn "không rác thải nhựa"; (5) Chỉ số hài lòng của </w:t>
      </w:r>
      <w:r w:rsidR="00034577" w:rsidRPr="00034577">
        <w:t>khách du lịch</w:t>
      </w:r>
      <w:r w:rsidRPr="00034577">
        <w:t xml:space="preserve"> về môi trường di tích. Đánh giá theo quý với báo cáo công khai và điều chỉnh kế hoạch dựa trên kết quả thực tế.</w:t>
      </w:r>
    </w:p>
    <w:p w:rsidR="00D47E56" w:rsidRPr="00034577" w:rsidRDefault="00000000" w:rsidP="00034577">
      <w:pPr>
        <w:pStyle w:val="Heading2"/>
        <w:spacing w:before="0" w:after="0" w:line="400" w:lineRule="atLeast"/>
      </w:pPr>
      <w:r w:rsidRPr="00034577">
        <w:t>5.3. Lộ trình triển khai</w:t>
      </w:r>
    </w:p>
    <w:p w:rsidR="00D47E56" w:rsidRPr="00034577" w:rsidRDefault="00000000" w:rsidP="00034577">
      <w:pPr>
        <w:spacing w:line="400" w:lineRule="atLeast"/>
        <w:ind w:firstLine="720"/>
        <w:jc w:val="both"/>
      </w:pPr>
      <w:r w:rsidRPr="00034577">
        <w:t xml:space="preserve">Mô hình được đề xuất triển khai theo bốn giai đoạn: Giai đoạn 1 (6 tháng đầu) </w:t>
      </w:r>
      <w:r w:rsidR="00034577" w:rsidRPr="00034577">
        <w:t>,</w:t>
      </w:r>
      <w:r w:rsidRPr="00034577">
        <w:t xml:space="preserve"> Khảo sát hiện trạng, xây dựng bộ tiêu chí và kế hoạch chi tiết, đào tạo đội ngũ; Giai đoạn 2 (6</w:t>
      </w:r>
      <w:r w:rsidR="00BE672C">
        <w:rPr>
          <w:lang w:val="vi-VN"/>
        </w:rPr>
        <w:t xml:space="preserve"> - </w:t>
      </w:r>
      <w:r w:rsidRPr="00034577">
        <w:t>18 tháng)</w:t>
      </w:r>
      <w:r w:rsidR="00BE672C">
        <w:rPr>
          <w:lang w:val="vi-VN"/>
        </w:rPr>
        <w:t xml:space="preserve"> </w:t>
      </w:r>
      <w:r w:rsidRPr="00034577">
        <w:t>Triển khai thí điểm với phạm vi giới hạn (một khu vực hoặc một mùa du lịch), thu thập dữ liệu nền; Giai đoạn 3 (18</w:t>
      </w:r>
      <w:r w:rsidR="00BE672C">
        <w:rPr>
          <w:lang w:val="vi-VN"/>
        </w:rPr>
        <w:t xml:space="preserve"> - </w:t>
      </w:r>
      <w:r w:rsidRPr="00034577">
        <w:t>30 tháng)</w:t>
      </w:r>
      <w:r w:rsidR="00BE672C">
        <w:rPr>
          <w:lang w:val="vi-VN"/>
        </w:rPr>
        <w:t xml:space="preserve"> </w:t>
      </w:r>
      <w:r w:rsidRPr="00034577">
        <w:t>Đánh giá toàn diện, điều chỉnh mô hình dựa trên bài học thực tiễn, hoàn thiện hệ thống giám sát; Giai đoạn 4 (từ tháng 30)</w:t>
      </w:r>
      <w:r w:rsidR="00BE672C">
        <w:rPr>
          <w:lang w:val="vi-VN"/>
        </w:rPr>
        <w:t xml:space="preserve"> </w:t>
      </w:r>
      <w:r w:rsidRPr="00034577">
        <w:t>Nhân rộng sang các điểm đến khác trong tỉnh Thanh Hóa và chia sẻ kinh nghiệm với các địa phương khác.</w:t>
      </w:r>
    </w:p>
    <w:p w:rsidR="00D47E56" w:rsidRPr="00034577" w:rsidRDefault="00D47E56" w:rsidP="00034577">
      <w:pPr>
        <w:spacing w:line="400" w:lineRule="atLeast"/>
        <w:jc w:val="both"/>
      </w:pPr>
    </w:p>
    <w:p w:rsidR="00D47E56" w:rsidRPr="00034577" w:rsidRDefault="00000000" w:rsidP="00BE672C">
      <w:pPr>
        <w:pStyle w:val="Heading1"/>
        <w:spacing w:before="0" w:after="0" w:line="400" w:lineRule="atLeast"/>
        <w:rPr>
          <w:sz w:val="26"/>
          <w:szCs w:val="26"/>
        </w:rPr>
      </w:pPr>
      <w:r w:rsidRPr="00034577">
        <w:rPr>
          <w:sz w:val="26"/>
          <w:szCs w:val="26"/>
        </w:rPr>
        <w:t>6. KẾT LUẬN</w:t>
      </w:r>
    </w:p>
    <w:p w:rsidR="00D47E56" w:rsidRPr="00034577" w:rsidRDefault="00000000" w:rsidP="00034577">
      <w:pPr>
        <w:spacing w:line="400" w:lineRule="atLeast"/>
        <w:ind w:firstLine="720"/>
        <w:jc w:val="both"/>
      </w:pPr>
      <w:r w:rsidRPr="00034577">
        <w:t>Bài viết đã tổng quan và phân tích ba mô hình lý thuyết du lịch xanh</w:t>
      </w:r>
      <w:r w:rsidR="00034577" w:rsidRPr="00034577">
        <w:t>,</w:t>
      </w:r>
      <w:r w:rsidRPr="00034577">
        <w:t xml:space="preserve"> du lịch không rác thải, khách sạn xanh và du lịch cộng đồng gắn với bảo tồn</w:t>
      </w:r>
      <w:r w:rsidR="00034577" w:rsidRPr="00034577">
        <w:t>,</w:t>
      </w:r>
      <w:r w:rsidRPr="00034577">
        <w:t xml:space="preserve"> từ góc nhìn chuyển đổi hành vi và đổi mới quản trị điểm đến. Phân tích cho thấy mỗi mô hình có ưu điểm riêng và phù hợp với các loại tài nguyên và bối cảnh quản trị khác nhau, do đó lựa chọn mô hình cần dựa trên đặc điểm cụ thể của từng điểm đến và năng lực thể chế của các chủ thể liên quan.</w:t>
      </w:r>
    </w:p>
    <w:p w:rsidR="00D47E56" w:rsidRPr="00034577" w:rsidRDefault="00000000" w:rsidP="00034577">
      <w:pPr>
        <w:spacing w:line="400" w:lineRule="atLeast"/>
        <w:ind w:firstLine="720"/>
        <w:jc w:val="both"/>
      </w:pPr>
      <w:r w:rsidRPr="00034577">
        <w:t>Đối với tỉnh Thanh Hóa, ba mô hình đều có tiềm năng ứng dụng phù hợp với từng nhóm tài nguyên: mô hình Zero</w:t>
      </w:r>
      <w:r w:rsidR="00034577" w:rsidRPr="00034577">
        <w:t>,</w:t>
      </w:r>
      <w:r w:rsidRPr="00034577">
        <w:t>Waste phù hợp với các điểm du lịch có lưu lượng khách lớn và áp lực rác thải cao; mô hình khách sạn xanh phù hợp với các khu du lịch biển đang phát triển mạnh; mô hình CBCT phù hợp với vùng núi và cộng đồng dân tộc thiểu số. Tuy nhiên, để có điểm khởi đầu chiến lược tạo tác động biểu tượng và khả năng nhân rộng cao, bài viết đề xuất ưu tiên triển khai mô hình du lịch không rác thải tại Khu di tích quốc gia đặc biệt Lam Kinh.</w:t>
      </w:r>
    </w:p>
    <w:p w:rsidR="00D47E56" w:rsidRPr="00034577" w:rsidRDefault="00000000" w:rsidP="00034577">
      <w:pPr>
        <w:spacing w:line="400" w:lineRule="atLeast"/>
        <w:ind w:firstLine="720"/>
        <w:jc w:val="both"/>
      </w:pPr>
      <w:r w:rsidRPr="00034577">
        <w:t>Luận điểm xuyên suốt của bài viết là: du lịch xanh không thể chỉ là tập hợp các giải pháp kỹ thuật. Thành công của bất kỳ mô hình du lịch xanh nào đều đòi hỏi sự thay đổi hành vi thực sự của các bên liên quan và sự đổi mới trong cơ chế quản trị điểm đến</w:t>
      </w:r>
      <w:r w:rsidR="00034577" w:rsidRPr="00034577">
        <w:t>,</w:t>
      </w:r>
      <w:r w:rsidRPr="00034577">
        <w:t xml:space="preserve"> hai yếu tố này chính là điều kiện đủ mà các can thiệp kỹ thuật không thể thay thế. Đây là định hướng quan trọng cần được thể hiện rõ trong quá trình thiết kế, triển khai và đánh giá mô hình du lịch xanh tại Thanh Hóa trong thời gian tới.</w:t>
      </w:r>
    </w:p>
    <w:p w:rsidR="00D47E56" w:rsidRPr="00034577" w:rsidRDefault="00000000" w:rsidP="00034577">
      <w:pPr>
        <w:spacing w:line="400" w:lineRule="atLeast"/>
        <w:ind w:firstLine="720"/>
        <w:jc w:val="both"/>
      </w:pPr>
      <w:r w:rsidRPr="00034577">
        <w:t>Trong khuôn khổ đề tài khoa học cấp tỉnh "Xây dựng mô hình du lịch xanh cho một số điểm tại tỉnh Thanh Hóa", bài viết này đặt nền tảng lý luận cho các nghiên cứu tiếp theo về thiết kế mô hình chi tiết, khảo sát thực địa và đề xuất chính sách triển khai.</w:t>
      </w:r>
    </w:p>
    <w:p w:rsidR="00D47E56" w:rsidRDefault="00D47E56">
      <w:pPr>
        <w:spacing w:after="160" w:line="360" w:lineRule="auto"/>
        <w:jc w:val="both"/>
      </w:pPr>
    </w:p>
    <w:p w:rsidR="00D47E56" w:rsidRDefault="00000000">
      <w:pPr>
        <w:pStyle w:val="Heading1"/>
        <w:jc w:val="center"/>
      </w:pPr>
      <w:r>
        <w:t>TÀI LIỆU THAM KHẢO</w:t>
      </w:r>
    </w:p>
    <w:p w:rsidR="00BE672C" w:rsidRDefault="00000000" w:rsidP="00BE672C">
      <w:pPr>
        <w:spacing w:line="360" w:lineRule="auto"/>
        <w:ind w:left="720" w:hanging="720"/>
        <w:jc w:val="both"/>
      </w:pPr>
      <w:r>
        <w:rPr>
          <w:sz w:val="24"/>
          <w:szCs w:val="24"/>
        </w:rPr>
        <w:t xml:space="preserve">Bramwell, B., &amp; Lane, B. (1993). Sustainable tourism: An evolving global approach. Journal of Sustainable Tourism, 1(1), 1–5. </w:t>
      </w:r>
      <w:hyperlink r:id="rId7" w:history="1">
        <w:r w:rsidR="00BE672C" w:rsidRPr="003115A4">
          <w:rPr>
            <w:rStyle w:val="Hyperlink"/>
            <w:sz w:val="24"/>
            <w:szCs w:val="24"/>
          </w:rPr>
          <w:t>https://doi.org/10.1080/09669589309450696</w:t>
        </w:r>
      </w:hyperlink>
    </w:p>
    <w:p w:rsidR="00BE672C" w:rsidRDefault="00000000" w:rsidP="00BE672C">
      <w:pPr>
        <w:spacing w:line="360" w:lineRule="auto"/>
        <w:ind w:left="720" w:hanging="720"/>
        <w:jc w:val="both"/>
      </w:pPr>
      <w:r>
        <w:rPr>
          <w:sz w:val="24"/>
          <w:szCs w:val="24"/>
        </w:rPr>
        <w:t xml:space="preserve">Buckley, R. (2012). Sustainable tourism: Research and reality. Annals of Tourism Research, 39(2), 528–546. </w:t>
      </w:r>
      <w:hyperlink r:id="rId8" w:history="1">
        <w:r w:rsidR="00BE672C" w:rsidRPr="003115A4">
          <w:rPr>
            <w:rStyle w:val="Hyperlink"/>
            <w:sz w:val="24"/>
            <w:szCs w:val="24"/>
          </w:rPr>
          <w:t>https://doi.org/10.1016/j.annals.2012.02.003</w:t>
        </w:r>
      </w:hyperlink>
    </w:p>
    <w:p w:rsidR="00BE672C" w:rsidRDefault="00000000" w:rsidP="00BE672C">
      <w:pPr>
        <w:spacing w:line="360" w:lineRule="auto"/>
        <w:ind w:left="720" w:hanging="720"/>
        <w:jc w:val="both"/>
      </w:pPr>
      <w:r>
        <w:rPr>
          <w:sz w:val="24"/>
          <w:szCs w:val="24"/>
        </w:rPr>
        <w:t xml:space="preserve">Budeanu, A. (2007). Sustainable tourist behaviour – a discussion of opportunities for change. International Journal of Consumer Studies, 31(5), 499–508. </w:t>
      </w:r>
      <w:hyperlink r:id="rId9" w:history="1">
        <w:r w:rsidR="00BE672C" w:rsidRPr="003115A4">
          <w:rPr>
            <w:rStyle w:val="Hyperlink"/>
            <w:sz w:val="24"/>
            <w:szCs w:val="24"/>
          </w:rPr>
          <w:t>https://doi.org/10.1111/j.1470,6431.2007.00606.x</w:t>
        </w:r>
      </w:hyperlink>
    </w:p>
    <w:p w:rsidR="00BE672C" w:rsidRDefault="00000000" w:rsidP="00BE672C">
      <w:pPr>
        <w:spacing w:line="360" w:lineRule="auto"/>
        <w:ind w:left="720" w:hanging="720"/>
        <w:jc w:val="both"/>
      </w:pPr>
      <w:r>
        <w:rPr>
          <w:sz w:val="24"/>
          <w:szCs w:val="24"/>
        </w:rPr>
        <w:lastRenderedPageBreak/>
        <w:t xml:space="preserve">Choi, H. C., &amp; Sirakaya, E. (2006). Sustainability indicators for managing community tourism. Tourism Management, 27(6), 1274–1289. </w:t>
      </w:r>
      <w:hyperlink r:id="rId10" w:history="1">
        <w:r w:rsidR="00BE672C" w:rsidRPr="003115A4">
          <w:rPr>
            <w:rStyle w:val="Hyperlink"/>
            <w:sz w:val="24"/>
            <w:szCs w:val="24"/>
          </w:rPr>
          <w:t>https://doi.org/10.1016/j.tourman.2005.05.018</w:t>
        </w:r>
      </w:hyperlink>
    </w:p>
    <w:p w:rsidR="00BE672C" w:rsidRDefault="00000000" w:rsidP="00BE672C">
      <w:pPr>
        <w:spacing w:line="360" w:lineRule="auto"/>
        <w:ind w:left="720" w:hanging="720"/>
        <w:jc w:val="both"/>
      </w:pPr>
      <w:r>
        <w:rPr>
          <w:sz w:val="24"/>
          <w:szCs w:val="24"/>
        </w:rPr>
        <w:t>Dwyer, L., &amp; Edwards, D. (2010). Sustainable tourism planning. In J. Liburd &amp; D. Edwards (Eds.), Understanding the sustainable development of tourism (pp. 19–44). Goodfellow Publishers.</w:t>
      </w:r>
    </w:p>
    <w:p w:rsidR="00BE672C" w:rsidRDefault="00000000" w:rsidP="00BE672C">
      <w:pPr>
        <w:spacing w:line="360" w:lineRule="auto"/>
        <w:ind w:left="720" w:hanging="720"/>
        <w:jc w:val="both"/>
      </w:pPr>
      <w:r>
        <w:rPr>
          <w:sz w:val="24"/>
          <w:szCs w:val="24"/>
        </w:rPr>
        <w:t>Gössling, S. (2010). Carbon management in tourism. Routledge.</w:t>
      </w:r>
    </w:p>
    <w:p w:rsidR="00BE672C" w:rsidRDefault="00000000" w:rsidP="00BE672C">
      <w:pPr>
        <w:spacing w:line="360" w:lineRule="auto"/>
        <w:ind w:left="720" w:hanging="720"/>
        <w:jc w:val="both"/>
      </w:pPr>
      <w:r>
        <w:rPr>
          <w:sz w:val="24"/>
          <w:szCs w:val="24"/>
        </w:rPr>
        <w:t>Gössling, S., Scott, D., &amp; Hall, C. M. (2015). Inter</w:t>
      </w:r>
      <w:r w:rsidR="00034577">
        <w:rPr>
          <w:sz w:val="24"/>
          <w:szCs w:val="24"/>
        </w:rPr>
        <w:t>,</w:t>
      </w:r>
      <w:r>
        <w:rPr>
          <w:sz w:val="24"/>
          <w:szCs w:val="24"/>
        </w:rPr>
        <w:t>market variability in CO₂ emission</w:t>
      </w:r>
      <w:r w:rsidR="00034577">
        <w:rPr>
          <w:sz w:val="24"/>
          <w:szCs w:val="24"/>
        </w:rPr>
        <w:t>,</w:t>
      </w:r>
      <w:r>
        <w:rPr>
          <w:sz w:val="24"/>
          <w:szCs w:val="24"/>
        </w:rPr>
        <w:t xml:space="preserve">intensities in tourism: Implications for destination marketing and carbon management. Tourism Management, 46, 203–212. </w:t>
      </w:r>
      <w:hyperlink r:id="rId11" w:history="1">
        <w:r w:rsidR="00BE672C" w:rsidRPr="003115A4">
          <w:rPr>
            <w:rStyle w:val="Hyperlink"/>
            <w:sz w:val="24"/>
            <w:szCs w:val="24"/>
          </w:rPr>
          <w:t>https://doi.org/10.1016/j.tourman.2014.06.021</w:t>
        </w:r>
      </w:hyperlink>
    </w:p>
    <w:p w:rsidR="00BE672C" w:rsidRDefault="00000000" w:rsidP="00BE672C">
      <w:pPr>
        <w:spacing w:line="360" w:lineRule="auto"/>
        <w:ind w:left="720" w:hanging="720"/>
        <w:jc w:val="both"/>
      </w:pPr>
      <w:r>
        <w:rPr>
          <w:sz w:val="24"/>
          <w:szCs w:val="24"/>
        </w:rPr>
        <w:t xml:space="preserve">Hall, C. M. (2010). Tourism and biodiversity: More significant than climate change? Journal of Heritage Tourism, 5(4), 253–266. </w:t>
      </w:r>
      <w:hyperlink r:id="rId12" w:history="1">
        <w:r w:rsidR="00BE672C" w:rsidRPr="003115A4">
          <w:rPr>
            <w:rStyle w:val="Hyperlink"/>
            <w:sz w:val="24"/>
            <w:szCs w:val="24"/>
          </w:rPr>
          <w:t>https://doi.org/10.1080/1743873X.2010.517843</w:t>
        </w:r>
      </w:hyperlink>
    </w:p>
    <w:p w:rsidR="00BE672C" w:rsidRDefault="00000000" w:rsidP="00BE672C">
      <w:pPr>
        <w:spacing w:line="360" w:lineRule="auto"/>
        <w:ind w:left="720" w:hanging="720"/>
        <w:jc w:val="both"/>
      </w:pPr>
      <w:r>
        <w:rPr>
          <w:sz w:val="24"/>
          <w:szCs w:val="24"/>
        </w:rPr>
        <w:t xml:space="preserve">Henderson, J. C. (2007). Corporate social responsibility and tourism: Hotel companies in Phuket, Thailand, after the Indian Ocean tsunami. International Journal of Hospitality Management, 26(1), 228–239. </w:t>
      </w:r>
      <w:hyperlink r:id="rId13" w:history="1">
        <w:r w:rsidR="00BE672C" w:rsidRPr="003115A4">
          <w:rPr>
            <w:rStyle w:val="Hyperlink"/>
            <w:sz w:val="24"/>
            <w:szCs w:val="24"/>
          </w:rPr>
          <w:t>https://doi.org/10.1016/j.ijhm.2006.02.001</w:t>
        </w:r>
      </w:hyperlink>
    </w:p>
    <w:p w:rsidR="00BE672C" w:rsidRDefault="00000000" w:rsidP="00BE672C">
      <w:pPr>
        <w:spacing w:line="360" w:lineRule="auto"/>
        <w:ind w:left="720" w:hanging="720"/>
        <w:jc w:val="both"/>
      </w:pPr>
      <w:r>
        <w:rPr>
          <w:sz w:val="24"/>
          <w:szCs w:val="24"/>
        </w:rPr>
        <w:t xml:space="preserve">International Ecotourism Society (TIES). (2015). TIES ecotourism definition. </w:t>
      </w:r>
      <w:hyperlink r:id="rId14" w:history="1">
        <w:r w:rsidR="00BE672C" w:rsidRPr="003115A4">
          <w:rPr>
            <w:rStyle w:val="Hyperlink"/>
            <w:sz w:val="24"/>
            <w:szCs w:val="24"/>
          </w:rPr>
          <w:t>https://ecotourism.org/what,is,ecotourism/</w:t>
        </w:r>
      </w:hyperlink>
    </w:p>
    <w:p w:rsidR="00BE672C" w:rsidRDefault="00000000" w:rsidP="00BE672C">
      <w:pPr>
        <w:spacing w:line="360" w:lineRule="auto"/>
        <w:ind w:left="720" w:hanging="720"/>
        <w:jc w:val="both"/>
      </w:pPr>
      <w:r>
        <w:rPr>
          <w:sz w:val="24"/>
          <w:szCs w:val="24"/>
        </w:rPr>
        <w:t xml:space="preserve">Mak, A. H. N., &amp; Chang, R. C. Y. (2019). The driving and restraining forces for environmental strategy adoption in the hotel industry: A force field analysis approach. Tourism Management, 73, 48–60. </w:t>
      </w:r>
      <w:hyperlink r:id="rId15" w:history="1">
        <w:r w:rsidR="00BE672C" w:rsidRPr="003115A4">
          <w:rPr>
            <w:rStyle w:val="Hyperlink"/>
            <w:sz w:val="24"/>
            <w:szCs w:val="24"/>
          </w:rPr>
          <w:t>https://doi.org/10.1016/j.tourman.2019.01.010</w:t>
        </w:r>
      </w:hyperlink>
    </w:p>
    <w:p w:rsidR="00BE672C" w:rsidRDefault="00000000" w:rsidP="00BE672C">
      <w:pPr>
        <w:spacing w:line="360" w:lineRule="auto"/>
        <w:ind w:left="720" w:hanging="720"/>
        <w:jc w:val="both"/>
      </w:pPr>
      <w:r>
        <w:rPr>
          <w:sz w:val="24"/>
          <w:szCs w:val="24"/>
        </w:rPr>
        <w:t>Mihalic, T. (2016). Sustainable</w:t>
      </w:r>
      <w:r w:rsidR="00034577">
        <w:rPr>
          <w:sz w:val="24"/>
          <w:szCs w:val="24"/>
        </w:rPr>
        <w:t>,</w:t>
      </w:r>
      <w:r>
        <w:rPr>
          <w:sz w:val="24"/>
          <w:szCs w:val="24"/>
        </w:rPr>
        <w:t xml:space="preserve">responsible tourism discourse – Towards ‘responsustable’ tourism. Journal of Cleaner Production, 111, 461–470. </w:t>
      </w:r>
      <w:hyperlink r:id="rId16" w:history="1">
        <w:r w:rsidR="00BE672C" w:rsidRPr="003115A4">
          <w:rPr>
            <w:rStyle w:val="Hyperlink"/>
            <w:sz w:val="24"/>
            <w:szCs w:val="24"/>
          </w:rPr>
          <w:t>https://doi.org/10.1016/j.jclepro.2014.12.062</w:t>
        </w:r>
      </w:hyperlink>
    </w:p>
    <w:p w:rsidR="00BE672C" w:rsidRDefault="00000000" w:rsidP="00BE672C">
      <w:pPr>
        <w:spacing w:line="360" w:lineRule="auto"/>
        <w:ind w:left="720" w:hanging="720"/>
        <w:jc w:val="both"/>
      </w:pPr>
      <w:r>
        <w:rPr>
          <w:sz w:val="24"/>
          <w:szCs w:val="24"/>
        </w:rPr>
        <w:t>Nhà xuất bản Chính trị Quốc gia. (2020). Chiến lược phát triển du lịch Việt Nam đến năm 2030. NXB Chính trị Quốc gia Sự thật.</w:t>
      </w:r>
    </w:p>
    <w:p w:rsidR="00BE672C" w:rsidRDefault="00000000" w:rsidP="00BE672C">
      <w:pPr>
        <w:spacing w:line="360" w:lineRule="auto"/>
        <w:ind w:left="720" w:hanging="720"/>
        <w:jc w:val="both"/>
      </w:pPr>
      <w:r>
        <w:rPr>
          <w:sz w:val="24"/>
          <w:szCs w:val="24"/>
        </w:rPr>
        <w:t xml:space="preserve">OECD. (2011). Towards green growth. OECD Publishing. </w:t>
      </w:r>
      <w:hyperlink r:id="rId17" w:history="1">
        <w:r w:rsidR="00BE672C" w:rsidRPr="003115A4">
          <w:rPr>
            <w:rStyle w:val="Hyperlink"/>
            <w:sz w:val="24"/>
            <w:szCs w:val="24"/>
          </w:rPr>
          <w:t>https://doi.org/10.1787/9789264111318,en</w:t>
        </w:r>
      </w:hyperlink>
    </w:p>
    <w:p w:rsidR="00BE672C" w:rsidRDefault="00000000" w:rsidP="00BE672C">
      <w:pPr>
        <w:spacing w:line="360" w:lineRule="auto"/>
        <w:ind w:left="720" w:hanging="720"/>
        <w:jc w:val="both"/>
      </w:pPr>
      <w:r>
        <w:rPr>
          <w:sz w:val="24"/>
          <w:szCs w:val="24"/>
        </w:rPr>
        <w:t>Pham, T. H., &amp; Kayat, K. (2011). Respondents2019 experience and their quality of life: A case study of rural tourism in Vietnam. European Journal of Tourism Research, 4(2), 160–178.</w:t>
      </w:r>
    </w:p>
    <w:p w:rsidR="00BE672C" w:rsidRDefault="00000000" w:rsidP="00BE672C">
      <w:pPr>
        <w:spacing w:line="360" w:lineRule="auto"/>
        <w:ind w:left="720" w:hanging="720"/>
        <w:jc w:val="both"/>
      </w:pPr>
      <w:r>
        <w:rPr>
          <w:sz w:val="24"/>
          <w:szCs w:val="24"/>
        </w:rPr>
        <w:t>Prideaux, B., Thompson, M., &amp; Pabel, A. (2020). Lessons from COVID</w:t>
      </w:r>
      <w:r w:rsidR="00034577">
        <w:rPr>
          <w:sz w:val="24"/>
          <w:szCs w:val="24"/>
        </w:rPr>
        <w:t>,</w:t>
      </w:r>
      <w:r>
        <w:rPr>
          <w:sz w:val="24"/>
          <w:szCs w:val="24"/>
        </w:rPr>
        <w:t xml:space="preserve">19 can prepare global tourism for the economic transformation needed to combat climate change. Tourism Geographies, 22(3), 667–678. </w:t>
      </w:r>
      <w:hyperlink r:id="rId18" w:history="1">
        <w:r w:rsidR="00BE672C" w:rsidRPr="003115A4">
          <w:rPr>
            <w:rStyle w:val="Hyperlink"/>
            <w:sz w:val="24"/>
            <w:szCs w:val="24"/>
          </w:rPr>
          <w:t>https://doi.org/10.1080/14616688.2020.1762117</w:t>
        </w:r>
      </w:hyperlink>
    </w:p>
    <w:p w:rsidR="00BE672C" w:rsidRDefault="00000000" w:rsidP="00BE672C">
      <w:pPr>
        <w:spacing w:line="360" w:lineRule="auto"/>
        <w:ind w:left="720" w:hanging="720"/>
        <w:jc w:val="both"/>
      </w:pPr>
      <w:r>
        <w:rPr>
          <w:sz w:val="24"/>
          <w:szCs w:val="24"/>
        </w:rPr>
        <w:lastRenderedPageBreak/>
        <w:t>Ritchie, J. R. B., &amp; Crouch, G. I. (2003). The competitive destination: A sustainable tourism perspective. CABI.</w:t>
      </w:r>
    </w:p>
    <w:p w:rsidR="00BE672C" w:rsidRDefault="00000000" w:rsidP="00BE672C">
      <w:pPr>
        <w:spacing w:line="360" w:lineRule="auto"/>
        <w:ind w:left="720" w:hanging="720"/>
        <w:jc w:val="both"/>
      </w:pPr>
      <w:r>
        <w:rPr>
          <w:sz w:val="24"/>
          <w:szCs w:val="24"/>
        </w:rPr>
        <w:t xml:space="preserve">Rogerson, C. M., &amp; Sims, S. R. (2012). The greening of urban hotels in South Africa: Evidence from Gauteng. Urban Forum, 23(3), 391–407. </w:t>
      </w:r>
      <w:hyperlink r:id="rId19" w:history="1">
        <w:r w:rsidR="00BE672C" w:rsidRPr="003115A4">
          <w:rPr>
            <w:rStyle w:val="Hyperlink"/>
            <w:sz w:val="24"/>
            <w:szCs w:val="24"/>
          </w:rPr>
          <w:t>https://doi.org/10.1007/s12132,012,9160,2</w:t>
        </w:r>
      </w:hyperlink>
    </w:p>
    <w:p w:rsidR="00BE672C" w:rsidRDefault="00000000" w:rsidP="00BE672C">
      <w:pPr>
        <w:spacing w:line="360" w:lineRule="auto"/>
        <w:ind w:left="720" w:hanging="720"/>
        <w:jc w:val="both"/>
      </w:pPr>
      <w:r>
        <w:rPr>
          <w:sz w:val="24"/>
          <w:szCs w:val="24"/>
        </w:rPr>
        <w:t>Sở Du lịch Thanh Hóa. (2023). Báo cáo tổng kết hoạt động du lịch Thanh Hóa năm 2023. Ủy ban Nhân dân tỉnh Thanh Hóa.</w:t>
      </w:r>
    </w:p>
    <w:p w:rsidR="00BE672C" w:rsidRDefault="00000000" w:rsidP="00BE672C">
      <w:pPr>
        <w:spacing w:line="360" w:lineRule="auto"/>
        <w:ind w:left="720" w:hanging="720"/>
        <w:jc w:val="both"/>
      </w:pPr>
      <w:r>
        <w:rPr>
          <w:sz w:val="24"/>
          <w:szCs w:val="24"/>
        </w:rPr>
        <w:t>Steg, L., &amp; Vlek, C. (2009). Encouraging pro</w:t>
      </w:r>
      <w:r w:rsidR="00034577">
        <w:rPr>
          <w:sz w:val="24"/>
          <w:szCs w:val="24"/>
        </w:rPr>
        <w:t>,</w:t>
      </w:r>
      <w:r>
        <w:rPr>
          <w:sz w:val="24"/>
          <w:szCs w:val="24"/>
        </w:rPr>
        <w:t xml:space="preserve">environmental behaviour: An integrative review and research agenda. Journal of Environmental Psychology, 29(3), 309–317. </w:t>
      </w:r>
      <w:hyperlink r:id="rId20" w:history="1">
        <w:r w:rsidR="00BE672C" w:rsidRPr="003115A4">
          <w:rPr>
            <w:rStyle w:val="Hyperlink"/>
            <w:sz w:val="24"/>
            <w:szCs w:val="24"/>
          </w:rPr>
          <w:t>https://doi.org/10.1016/j.jenvp.2008.10.004</w:t>
        </w:r>
      </w:hyperlink>
    </w:p>
    <w:p w:rsidR="00BE672C" w:rsidRDefault="00000000" w:rsidP="00BE672C">
      <w:pPr>
        <w:spacing w:line="360" w:lineRule="auto"/>
        <w:ind w:left="720" w:hanging="720"/>
        <w:jc w:val="both"/>
      </w:pPr>
      <w:r>
        <w:rPr>
          <w:sz w:val="24"/>
          <w:szCs w:val="24"/>
        </w:rPr>
        <w:t xml:space="preserve">Timothy, D. J., &amp; Tosun, C. (2003). Tourists’ perceptions of the Canada–USA border as a barrier to tourism at the International Peace Garden. Tourism Management, 24(4), 411–421. </w:t>
      </w:r>
      <w:hyperlink r:id="rId21" w:history="1">
        <w:r w:rsidR="00BE672C" w:rsidRPr="003115A4">
          <w:rPr>
            <w:rStyle w:val="Hyperlink"/>
            <w:sz w:val="24"/>
            <w:szCs w:val="24"/>
          </w:rPr>
          <w:t>https://doi.org/10.1016/S0261,5177(02)00103,0</w:t>
        </w:r>
      </w:hyperlink>
    </w:p>
    <w:p w:rsidR="00D47E56" w:rsidRDefault="00000000" w:rsidP="00BE672C">
      <w:pPr>
        <w:spacing w:line="360" w:lineRule="auto"/>
        <w:ind w:left="720" w:hanging="720"/>
        <w:jc w:val="both"/>
      </w:pPr>
      <w:r>
        <w:rPr>
          <w:sz w:val="24"/>
          <w:szCs w:val="24"/>
        </w:rPr>
        <w:t>UNEP &amp; UNWTO. (2012). Tourism in the green economy – background report. UNEP.</w:t>
      </w:r>
    </w:p>
    <w:p w:rsidR="00BE672C" w:rsidRDefault="00000000" w:rsidP="00BE672C">
      <w:pPr>
        <w:spacing w:line="360" w:lineRule="auto"/>
        <w:ind w:left="720" w:hanging="720"/>
        <w:jc w:val="both"/>
      </w:pPr>
      <w:r>
        <w:rPr>
          <w:sz w:val="24"/>
          <w:szCs w:val="24"/>
        </w:rPr>
        <w:t xml:space="preserve">UNWTO. (2019). International tourism highlights, 2019 edition. UNWTO. </w:t>
      </w:r>
      <w:hyperlink r:id="rId22" w:history="1">
        <w:r w:rsidR="00BE672C" w:rsidRPr="003115A4">
          <w:rPr>
            <w:rStyle w:val="Hyperlink"/>
            <w:sz w:val="24"/>
            <w:szCs w:val="24"/>
          </w:rPr>
          <w:t>https://doi.org/10.18111/9789284421152</w:t>
        </w:r>
      </w:hyperlink>
    </w:p>
    <w:p w:rsidR="00BE672C" w:rsidRDefault="00000000" w:rsidP="00BE672C">
      <w:pPr>
        <w:spacing w:line="360" w:lineRule="auto"/>
        <w:ind w:left="720" w:hanging="720"/>
        <w:jc w:val="both"/>
      </w:pPr>
      <w:r>
        <w:rPr>
          <w:sz w:val="24"/>
          <w:szCs w:val="24"/>
        </w:rPr>
        <w:t>UNWTO &amp; UNEP. (2008). Climate change and tourism: Responding to global challenges. UNWTO.</w:t>
      </w:r>
    </w:p>
    <w:p w:rsidR="00BE672C" w:rsidRDefault="00000000" w:rsidP="00BE672C">
      <w:pPr>
        <w:spacing w:line="360" w:lineRule="auto"/>
        <w:ind w:left="720" w:hanging="720"/>
        <w:jc w:val="both"/>
      </w:pPr>
      <w:r>
        <w:rPr>
          <w:sz w:val="24"/>
          <w:szCs w:val="24"/>
        </w:rPr>
        <w:t>Ủy ban Nhân dân tỉnh Thanh Hóa. (2021). Quy hoạch tổng thể phát triển du lịch tỉnh Thanh Hóa đến năm 2025, định hướng đến năm 2030. UBND tỉnh Thanh Hóa.</w:t>
      </w:r>
    </w:p>
    <w:p w:rsidR="00BE672C" w:rsidRDefault="00000000" w:rsidP="00BE672C">
      <w:pPr>
        <w:spacing w:line="360" w:lineRule="auto"/>
        <w:ind w:left="720" w:hanging="720"/>
        <w:jc w:val="both"/>
      </w:pPr>
      <w:r>
        <w:rPr>
          <w:sz w:val="24"/>
          <w:szCs w:val="24"/>
        </w:rPr>
        <w:t>Waitt, G., &amp; Cook, L. (2007). Leaving nothing but ripples on the water: Performing/guiding sustainable sea</w:t>
      </w:r>
      <w:r w:rsidR="00034577">
        <w:rPr>
          <w:sz w:val="24"/>
          <w:szCs w:val="24"/>
        </w:rPr>
        <w:t>,</w:t>
      </w:r>
      <w:r>
        <w:rPr>
          <w:sz w:val="24"/>
          <w:szCs w:val="24"/>
        </w:rPr>
        <w:t xml:space="preserve">kayaking tourism. Social &amp; Cultural Geography, 8(4), 535–550. </w:t>
      </w:r>
      <w:hyperlink r:id="rId23" w:history="1">
        <w:r w:rsidR="00BE672C" w:rsidRPr="003115A4">
          <w:rPr>
            <w:rStyle w:val="Hyperlink"/>
            <w:sz w:val="24"/>
            <w:szCs w:val="24"/>
          </w:rPr>
          <w:t>https://doi.org/10.1080/14649360701529782</w:t>
        </w:r>
      </w:hyperlink>
    </w:p>
    <w:p w:rsidR="00D47E56" w:rsidRDefault="00000000" w:rsidP="00BE672C">
      <w:pPr>
        <w:spacing w:line="360" w:lineRule="auto"/>
        <w:ind w:left="720" w:hanging="720"/>
        <w:jc w:val="both"/>
      </w:pPr>
      <w:r>
        <w:rPr>
          <w:sz w:val="24"/>
          <w:szCs w:val="24"/>
        </w:rPr>
        <w:t>Wang, N. (2000). Tourism and modernity: A sociological analysis. Pergamon.</w:t>
      </w:r>
    </w:p>
    <w:p w:rsidR="00BE672C" w:rsidRDefault="00000000" w:rsidP="00BE672C">
      <w:pPr>
        <w:spacing w:line="360" w:lineRule="auto"/>
        <w:ind w:left="720" w:hanging="720"/>
        <w:jc w:val="both"/>
      </w:pPr>
      <w:r>
        <w:rPr>
          <w:sz w:val="24"/>
          <w:szCs w:val="24"/>
        </w:rPr>
        <w:t>Weaver, D. B. (2006). Sustainable tourism: Theory and practice. Routledge.</w:t>
      </w:r>
    </w:p>
    <w:p w:rsidR="00BE672C" w:rsidRDefault="00000000" w:rsidP="00BE672C">
      <w:pPr>
        <w:spacing w:line="360" w:lineRule="auto"/>
        <w:ind w:left="720" w:hanging="720"/>
        <w:jc w:val="both"/>
      </w:pPr>
      <w:r>
        <w:rPr>
          <w:sz w:val="24"/>
          <w:szCs w:val="24"/>
        </w:rPr>
        <w:t>World Travel &amp; Tourism Council (WTTC). (2023). Travel and tourism economic impact 2023. WTTC.</w:t>
      </w:r>
    </w:p>
    <w:p w:rsidR="00BE672C" w:rsidRDefault="00000000" w:rsidP="00BE672C">
      <w:pPr>
        <w:spacing w:line="360" w:lineRule="auto"/>
        <w:ind w:left="720" w:hanging="720"/>
        <w:jc w:val="both"/>
      </w:pPr>
      <w:r>
        <w:rPr>
          <w:sz w:val="24"/>
          <w:szCs w:val="24"/>
        </w:rPr>
        <w:t xml:space="preserve">Xiao, H., &amp; Smith, S. L. J. (2006). The maturation of tourism research: Evidence from a content analysis. Tourism Analysis, 10(4), 335–348. </w:t>
      </w:r>
      <w:hyperlink r:id="rId24" w:history="1">
        <w:r w:rsidR="00BE672C" w:rsidRPr="003115A4">
          <w:rPr>
            <w:rStyle w:val="Hyperlink"/>
            <w:sz w:val="24"/>
            <w:szCs w:val="24"/>
          </w:rPr>
          <w:t>https://doi.org/10.3727/108354206776330770</w:t>
        </w:r>
      </w:hyperlink>
    </w:p>
    <w:p w:rsidR="00BE672C" w:rsidRDefault="00000000" w:rsidP="00BE672C">
      <w:pPr>
        <w:spacing w:line="360" w:lineRule="auto"/>
        <w:ind w:left="720" w:hanging="720"/>
        <w:jc w:val="both"/>
      </w:pPr>
      <w:r>
        <w:rPr>
          <w:sz w:val="24"/>
          <w:szCs w:val="24"/>
        </w:rPr>
        <w:t>Xu, F., Fox, D., &amp; Yang, Y. (2014). Exploring attitudes to eco</w:t>
      </w:r>
      <w:r w:rsidR="00034577">
        <w:rPr>
          <w:sz w:val="24"/>
          <w:szCs w:val="24"/>
        </w:rPr>
        <w:t>,</w:t>
      </w:r>
      <w:r>
        <w:rPr>
          <w:sz w:val="24"/>
          <w:szCs w:val="24"/>
        </w:rPr>
        <w:t>friendly tourism products among Chinese tourists: A means</w:t>
      </w:r>
      <w:r w:rsidR="00034577">
        <w:rPr>
          <w:sz w:val="24"/>
          <w:szCs w:val="24"/>
        </w:rPr>
        <w:t>,</w:t>
      </w:r>
      <w:r>
        <w:rPr>
          <w:sz w:val="24"/>
          <w:szCs w:val="24"/>
        </w:rPr>
        <w:t xml:space="preserve">end chain analysis. Journal of Sustainable Tourism, 22(4), 575–593. </w:t>
      </w:r>
      <w:hyperlink r:id="rId25" w:history="1">
        <w:r w:rsidR="00BE672C" w:rsidRPr="003115A4">
          <w:rPr>
            <w:rStyle w:val="Hyperlink"/>
            <w:sz w:val="24"/>
            <w:szCs w:val="24"/>
          </w:rPr>
          <w:t>https://doi.org/10.1080/09669582.2013.855219</w:t>
        </w:r>
      </w:hyperlink>
    </w:p>
    <w:p w:rsidR="00BE672C" w:rsidRDefault="00000000" w:rsidP="00BE672C">
      <w:pPr>
        <w:spacing w:line="360" w:lineRule="auto"/>
        <w:ind w:left="720" w:hanging="720"/>
        <w:jc w:val="both"/>
      </w:pPr>
      <w:r>
        <w:rPr>
          <w:sz w:val="24"/>
          <w:szCs w:val="24"/>
        </w:rPr>
        <w:lastRenderedPageBreak/>
        <w:t>Yeh, S. S. (2021). Tourism recovery strategy against COVID</w:t>
      </w:r>
      <w:r w:rsidR="00034577">
        <w:rPr>
          <w:sz w:val="24"/>
          <w:szCs w:val="24"/>
        </w:rPr>
        <w:t>,</w:t>
      </w:r>
      <w:r>
        <w:rPr>
          <w:sz w:val="24"/>
          <w:szCs w:val="24"/>
        </w:rPr>
        <w:t xml:space="preserve">19 pandemic. Tourism Recreation Research, 46(2), 188–194. </w:t>
      </w:r>
      <w:hyperlink r:id="rId26" w:history="1">
        <w:r w:rsidR="00BE672C" w:rsidRPr="003115A4">
          <w:rPr>
            <w:rStyle w:val="Hyperlink"/>
            <w:sz w:val="24"/>
            <w:szCs w:val="24"/>
          </w:rPr>
          <w:t>https://doi.org/10.1080/02508281.2020.1805933</w:t>
        </w:r>
      </w:hyperlink>
    </w:p>
    <w:p w:rsidR="00BE672C" w:rsidRDefault="00000000" w:rsidP="00BE672C">
      <w:pPr>
        <w:spacing w:line="360" w:lineRule="auto"/>
        <w:ind w:left="720" w:hanging="720"/>
        <w:jc w:val="both"/>
      </w:pPr>
      <w:r>
        <w:rPr>
          <w:sz w:val="24"/>
          <w:szCs w:val="24"/>
        </w:rPr>
        <w:t xml:space="preserve">Yoon, Y., &amp; Uysal, M. (2005). An examination of the effects of motivation and satisfaction on destination loyalty: A structural model. Tourism Management, 26(1), 45–56. </w:t>
      </w:r>
      <w:hyperlink r:id="rId27" w:history="1">
        <w:r w:rsidR="00BE672C" w:rsidRPr="003115A4">
          <w:rPr>
            <w:rStyle w:val="Hyperlink"/>
            <w:sz w:val="24"/>
            <w:szCs w:val="24"/>
          </w:rPr>
          <w:t>https://doi.org/10.1016/j.tourman.2003.08.016</w:t>
        </w:r>
      </w:hyperlink>
    </w:p>
    <w:p w:rsidR="00D47E56" w:rsidRDefault="00000000" w:rsidP="00BE672C">
      <w:pPr>
        <w:spacing w:line="360" w:lineRule="auto"/>
        <w:ind w:left="720" w:hanging="720"/>
        <w:jc w:val="both"/>
      </w:pPr>
      <w:r>
        <w:rPr>
          <w:sz w:val="24"/>
          <w:szCs w:val="24"/>
        </w:rPr>
        <w:t>Zero Waste International Alliance (ZWIA). (2018). Zero waste definition. http://zwia.org/zero</w:t>
      </w:r>
      <w:r w:rsidR="00034577">
        <w:rPr>
          <w:sz w:val="24"/>
          <w:szCs w:val="24"/>
        </w:rPr>
        <w:t>,</w:t>
      </w:r>
      <w:r>
        <w:rPr>
          <w:sz w:val="24"/>
          <w:szCs w:val="24"/>
        </w:rPr>
        <w:t>waste</w:t>
      </w:r>
      <w:r w:rsidR="00034577">
        <w:rPr>
          <w:sz w:val="24"/>
          <w:szCs w:val="24"/>
        </w:rPr>
        <w:t>,</w:t>
      </w:r>
      <w:r>
        <w:rPr>
          <w:sz w:val="24"/>
          <w:szCs w:val="24"/>
        </w:rPr>
        <w:t>definition/</w:t>
      </w:r>
    </w:p>
    <w:sectPr w:rsidR="00D47E56">
      <w:footerReference w:type="default" r:id="rId28"/>
      <w:pgSz w:w="11906" w:h="16838"/>
      <w:pgMar w:top="1440" w:right="1080" w:bottom="1440" w:left="18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40F69" w:rsidRDefault="00340F69">
      <w:r>
        <w:separator/>
      </w:r>
    </w:p>
  </w:endnote>
  <w:endnote w:type="continuationSeparator" w:id="0">
    <w:p w:rsidR="00340F69" w:rsidRDefault="00340F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47E56" w:rsidRDefault="00000000">
    <w:pPr>
      <w:jc w:val="center"/>
    </w:pPr>
    <w:r>
      <w:fldChar w:fldCharType="begin"/>
    </w:r>
    <w:r>
      <w:instrText>PAGE</w:instrText>
    </w:r>
    <w:r>
      <w:fldChar w:fldCharType="separate"/>
    </w:r>
    <w:r w:rsidR="00034577">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40F69" w:rsidRDefault="00340F69">
      <w:r>
        <w:separator/>
      </w:r>
    </w:p>
  </w:footnote>
  <w:footnote w:type="continuationSeparator" w:id="0">
    <w:p w:rsidR="00340F69" w:rsidRDefault="00340F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972EE6"/>
    <w:multiLevelType w:val="hybridMultilevel"/>
    <w:tmpl w:val="E9E46A04"/>
    <w:lvl w:ilvl="0" w:tplc="9B78B844">
      <w:start w:val="1"/>
      <w:numFmt w:val="bullet"/>
      <w:lvlText w:val="●"/>
      <w:lvlJc w:val="left"/>
      <w:pPr>
        <w:ind w:left="720" w:hanging="360"/>
      </w:pPr>
    </w:lvl>
    <w:lvl w:ilvl="1" w:tplc="761EDEDA">
      <w:start w:val="1"/>
      <w:numFmt w:val="bullet"/>
      <w:lvlText w:val="○"/>
      <w:lvlJc w:val="left"/>
      <w:pPr>
        <w:ind w:left="1440" w:hanging="360"/>
      </w:pPr>
    </w:lvl>
    <w:lvl w:ilvl="2" w:tplc="02C810C4">
      <w:start w:val="1"/>
      <w:numFmt w:val="bullet"/>
      <w:lvlText w:val="■"/>
      <w:lvlJc w:val="left"/>
      <w:pPr>
        <w:ind w:left="2160" w:hanging="360"/>
      </w:pPr>
    </w:lvl>
    <w:lvl w:ilvl="3" w:tplc="6F5ECA8C">
      <w:start w:val="1"/>
      <w:numFmt w:val="bullet"/>
      <w:lvlText w:val="●"/>
      <w:lvlJc w:val="left"/>
      <w:pPr>
        <w:ind w:left="2880" w:hanging="360"/>
      </w:pPr>
    </w:lvl>
    <w:lvl w:ilvl="4" w:tplc="F112C970">
      <w:start w:val="1"/>
      <w:numFmt w:val="bullet"/>
      <w:lvlText w:val="○"/>
      <w:lvlJc w:val="left"/>
      <w:pPr>
        <w:ind w:left="3600" w:hanging="360"/>
      </w:pPr>
    </w:lvl>
    <w:lvl w:ilvl="5" w:tplc="64B25604">
      <w:start w:val="1"/>
      <w:numFmt w:val="bullet"/>
      <w:lvlText w:val="■"/>
      <w:lvlJc w:val="left"/>
      <w:pPr>
        <w:ind w:left="4320" w:hanging="360"/>
      </w:pPr>
    </w:lvl>
    <w:lvl w:ilvl="6" w:tplc="66D8DBF2">
      <w:start w:val="1"/>
      <w:numFmt w:val="bullet"/>
      <w:lvlText w:val="●"/>
      <w:lvlJc w:val="left"/>
      <w:pPr>
        <w:ind w:left="5040" w:hanging="360"/>
      </w:pPr>
    </w:lvl>
    <w:lvl w:ilvl="7" w:tplc="62E681AC">
      <w:start w:val="1"/>
      <w:numFmt w:val="bullet"/>
      <w:lvlText w:val="●"/>
      <w:lvlJc w:val="left"/>
      <w:pPr>
        <w:ind w:left="5760" w:hanging="360"/>
      </w:pPr>
    </w:lvl>
    <w:lvl w:ilvl="8" w:tplc="11BCBE14">
      <w:start w:val="1"/>
      <w:numFmt w:val="bullet"/>
      <w:lvlText w:val="●"/>
      <w:lvlJc w:val="left"/>
      <w:pPr>
        <w:ind w:left="6480" w:hanging="360"/>
      </w:pPr>
    </w:lvl>
  </w:abstractNum>
  <w:abstractNum w:abstractNumId="1" w15:restartNumberingAfterBreak="0">
    <w:nsid w:val="668C5E17"/>
    <w:multiLevelType w:val="hybridMultilevel"/>
    <w:tmpl w:val="A0FEB934"/>
    <w:lvl w:ilvl="0" w:tplc="B39AB39C">
      <w:start w:val="1"/>
      <w:numFmt w:val="bullet"/>
      <w:lvlText w:val="•"/>
      <w:lvlJc w:val="left"/>
      <w:pPr>
        <w:ind w:left="720" w:hanging="360"/>
      </w:pPr>
    </w:lvl>
    <w:lvl w:ilvl="1" w:tplc="E806B3BA">
      <w:numFmt w:val="decimal"/>
      <w:lvlText w:val=""/>
      <w:lvlJc w:val="left"/>
    </w:lvl>
    <w:lvl w:ilvl="2" w:tplc="5D34F180">
      <w:numFmt w:val="decimal"/>
      <w:lvlText w:val=""/>
      <w:lvlJc w:val="left"/>
    </w:lvl>
    <w:lvl w:ilvl="3" w:tplc="64E2A484">
      <w:numFmt w:val="decimal"/>
      <w:lvlText w:val=""/>
      <w:lvlJc w:val="left"/>
    </w:lvl>
    <w:lvl w:ilvl="4" w:tplc="C93EF3E6">
      <w:numFmt w:val="decimal"/>
      <w:lvlText w:val=""/>
      <w:lvlJc w:val="left"/>
    </w:lvl>
    <w:lvl w:ilvl="5" w:tplc="4738A53E">
      <w:numFmt w:val="decimal"/>
      <w:lvlText w:val=""/>
      <w:lvlJc w:val="left"/>
    </w:lvl>
    <w:lvl w:ilvl="6" w:tplc="BD2A9880">
      <w:numFmt w:val="decimal"/>
      <w:lvlText w:val=""/>
      <w:lvlJc w:val="left"/>
    </w:lvl>
    <w:lvl w:ilvl="7" w:tplc="F1DC2394">
      <w:numFmt w:val="decimal"/>
      <w:lvlText w:val=""/>
      <w:lvlJc w:val="left"/>
    </w:lvl>
    <w:lvl w:ilvl="8" w:tplc="5BFE8774">
      <w:numFmt w:val="decimal"/>
      <w:lvlText w:val=""/>
      <w:lvlJc w:val="left"/>
    </w:lvl>
  </w:abstractNum>
  <w:num w:numId="1" w16cid:durableId="208680390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7E56"/>
    <w:rsid w:val="00034577"/>
    <w:rsid w:val="002C5312"/>
    <w:rsid w:val="00340F69"/>
    <w:rsid w:val="00470E55"/>
    <w:rsid w:val="00483C33"/>
    <w:rsid w:val="007E58D1"/>
    <w:rsid w:val="00AA33F2"/>
    <w:rsid w:val="00B1250F"/>
    <w:rsid w:val="00B42009"/>
    <w:rsid w:val="00BE672C"/>
    <w:rsid w:val="00D47E56"/>
    <w:rsid w:val="00E15759"/>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decimalSymbol w:val="."/>
  <w:listSeparator w:val=","/>
  <w14:docId w14:val="1D910C2F"/>
  <w15:docId w15:val="{5994FEE2-F65E-5141-B404-69A157994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6"/>
        <w:szCs w:val="26"/>
        <w:lang w:val="en-V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200" w:after="160" w:line="360" w:lineRule="auto"/>
      <w:outlineLvl w:val="0"/>
    </w:pPr>
    <w:rPr>
      <w:b/>
      <w:bCs/>
      <w:caps/>
      <w:color w:val="000000"/>
      <w:sz w:val="28"/>
      <w:szCs w:val="28"/>
    </w:rPr>
  </w:style>
  <w:style w:type="paragraph" w:styleId="Heading2">
    <w:name w:val="heading 2"/>
    <w:uiPriority w:val="9"/>
    <w:unhideWhenUsed/>
    <w:qFormat/>
    <w:pPr>
      <w:spacing w:before="200" w:after="160" w:line="360" w:lineRule="auto"/>
      <w:outlineLvl w:val="1"/>
    </w:pPr>
    <w:rPr>
      <w:b/>
      <w:bCs/>
      <w:color w:val="000000"/>
    </w:rPr>
  </w:style>
  <w:style w:type="paragraph" w:styleId="Heading3">
    <w:name w:val="heading 3"/>
    <w:uiPriority w:val="9"/>
    <w:unhideWhenUsed/>
    <w:qFormat/>
    <w:pPr>
      <w:spacing w:before="200" w:after="160" w:line="360" w:lineRule="auto"/>
      <w:outlineLvl w:val="2"/>
    </w:pPr>
    <w:rPr>
      <w:b/>
      <w:bCs/>
      <w:i/>
      <w:iCs/>
      <w:color w:val="000000"/>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Revision">
    <w:name w:val="Revision"/>
    <w:hidden/>
    <w:uiPriority w:val="99"/>
    <w:semiHidden/>
    <w:rsid w:val="00034577"/>
  </w:style>
  <w:style w:type="character" w:styleId="UnresolvedMention">
    <w:name w:val="Unresolved Mention"/>
    <w:basedOn w:val="DefaultParagraphFont"/>
    <w:uiPriority w:val="99"/>
    <w:semiHidden/>
    <w:unhideWhenUsed/>
    <w:rsid w:val="00BE67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doi.org/10.1016/j.annals.2012.02.003" TargetMode="External"/><Relationship Id="rId13" Type="http://schemas.openxmlformats.org/officeDocument/2006/relationships/hyperlink" Target="https://doi.org/10.1016/j.ijhm.2006.02.001" TargetMode="External"/><Relationship Id="rId18" Type="http://schemas.openxmlformats.org/officeDocument/2006/relationships/hyperlink" Target="https://doi.org/10.1080/14616688.2020.1762117" TargetMode="External"/><Relationship Id="rId26" Type="http://schemas.openxmlformats.org/officeDocument/2006/relationships/hyperlink" Target="https://doi.org/10.1080/02508281.2020.1805933" TargetMode="External"/><Relationship Id="rId3" Type="http://schemas.openxmlformats.org/officeDocument/2006/relationships/settings" Target="settings.xml"/><Relationship Id="rId21" Type="http://schemas.openxmlformats.org/officeDocument/2006/relationships/hyperlink" Target="https://doi.org/10.1016/S0261,5177(02)00103,0" TargetMode="External"/><Relationship Id="rId7" Type="http://schemas.openxmlformats.org/officeDocument/2006/relationships/hyperlink" Target="https://doi.org/10.1080/09669589309450696" TargetMode="External"/><Relationship Id="rId12" Type="http://schemas.openxmlformats.org/officeDocument/2006/relationships/hyperlink" Target="https://doi.org/10.1080/1743873X.2010.517843" TargetMode="External"/><Relationship Id="rId17" Type="http://schemas.openxmlformats.org/officeDocument/2006/relationships/hyperlink" Target="https://doi.org/10.1787/9789264111318,en" TargetMode="External"/><Relationship Id="rId25" Type="http://schemas.openxmlformats.org/officeDocument/2006/relationships/hyperlink" Target="https://doi.org/10.1080/09669582.2013.855219" TargetMode="External"/><Relationship Id="rId2" Type="http://schemas.openxmlformats.org/officeDocument/2006/relationships/styles" Target="styles.xml"/><Relationship Id="rId16" Type="http://schemas.openxmlformats.org/officeDocument/2006/relationships/hyperlink" Target="https://doi.org/10.1016/j.jclepro.2014.12.062" TargetMode="External"/><Relationship Id="rId20" Type="http://schemas.openxmlformats.org/officeDocument/2006/relationships/hyperlink" Target="https://doi.org/10.1016/j.jenvp.2008.10.004"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016/j.tourman.2014.06.021" TargetMode="External"/><Relationship Id="rId24" Type="http://schemas.openxmlformats.org/officeDocument/2006/relationships/hyperlink" Target="https://doi.org/10.3727/108354206776330770" TargetMode="External"/><Relationship Id="rId5" Type="http://schemas.openxmlformats.org/officeDocument/2006/relationships/footnotes" Target="footnotes.xml"/><Relationship Id="rId15" Type="http://schemas.openxmlformats.org/officeDocument/2006/relationships/hyperlink" Target="https://doi.org/10.1016/j.tourman.2019.01.010" TargetMode="External"/><Relationship Id="rId23" Type="http://schemas.openxmlformats.org/officeDocument/2006/relationships/hyperlink" Target="https://doi.org/10.1080/14649360701529782" TargetMode="External"/><Relationship Id="rId28" Type="http://schemas.openxmlformats.org/officeDocument/2006/relationships/footer" Target="footer1.xml"/><Relationship Id="rId10" Type="http://schemas.openxmlformats.org/officeDocument/2006/relationships/hyperlink" Target="https://doi.org/10.1016/j.tourman.2005.05.018" TargetMode="External"/><Relationship Id="rId19" Type="http://schemas.openxmlformats.org/officeDocument/2006/relationships/hyperlink" Target="https://doi.org/10.1007/s12132,012,9160,2" TargetMode="External"/><Relationship Id="rId4" Type="http://schemas.openxmlformats.org/officeDocument/2006/relationships/webSettings" Target="webSettings.xml"/><Relationship Id="rId9" Type="http://schemas.openxmlformats.org/officeDocument/2006/relationships/hyperlink" Target="https://doi.org/10.1111/j.1470,6431.2007.00606.x" TargetMode="External"/><Relationship Id="rId14" Type="http://schemas.openxmlformats.org/officeDocument/2006/relationships/hyperlink" Target="https://ecotourism.org/what,is,ecotourism/" TargetMode="External"/><Relationship Id="rId22" Type="http://schemas.openxmlformats.org/officeDocument/2006/relationships/hyperlink" Target="https://doi.org/10.18111/9789284421152" TargetMode="External"/><Relationship Id="rId27" Type="http://schemas.openxmlformats.org/officeDocument/2006/relationships/hyperlink" Target="https://doi.org/10.1016/j.tourman.2003.08.016"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TotalTime>
  <Pages>16</Pages>
  <Words>7501</Words>
  <Characters>29182</Characters>
  <Application>Microsoft Office Word</Application>
  <DocSecurity>0</DocSecurity>
  <Lines>572</Lines>
  <Paragraphs>239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Hung Le</cp:lastModifiedBy>
  <cp:revision>8</cp:revision>
  <dcterms:created xsi:type="dcterms:W3CDTF">2026-06-19T15:37:00Z</dcterms:created>
  <dcterms:modified xsi:type="dcterms:W3CDTF">2026-06-23T09:15:00Z</dcterms:modified>
</cp:coreProperties>
</file>