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FF7AF0" w14:textId="77777777" w:rsidR="000B5B85" w:rsidRPr="00440785" w:rsidRDefault="000B5B85" w:rsidP="003F327A">
      <w:pPr>
        <w:spacing w:line="480" w:lineRule="auto"/>
        <w:jc w:val="both"/>
        <w:rPr>
          <w:sz w:val="26"/>
          <w:szCs w:val="26"/>
        </w:rPr>
      </w:pPr>
    </w:p>
    <w:p w14:paraId="6DC36AC3" w14:textId="2321491E" w:rsidR="00EC79B6" w:rsidRPr="003F327A" w:rsidRDefault="0064624D" w:rsidP="003F327A">
      <w:pPr>
        <w:spacing w:line="480" w:lineRule="auto"/>
        <w:jc w:val="center"/>
        <w:rPr>
          <w:b/>
          <w:sz w:val="26"/>
          <w:szCs w:val="26"/>
        </w:rPr>
      </w:pPr>
      <w:r w:rsidRPr="00440785">
        <w:rPr>
          <w:b/>
          <w:sz w:val="26"/>
          <w:szCs w:val="26"/>
        </w:rPr>
        <w:t>Nhân tố ảnh hưởng tới</w:t>
      </w:r>
      <w:r w:rsidR="00327EB2" w:rsidRPr="00440785">
        <w:rPr>
          <w:b/>
          <w:sz w:val="26"/>
          <w:szCs w:val="26"/>
        </w:rPr>
        <w:t xml:space="preserve"> tiếp cận tín dụng </w:t>
      </w:r>
      <w:r w:rsidRPr="00440785">
        <w:rPr>
          <w:b/>
          <w:sz w:val="26"/>
          <w:szCs w:val="26"/>
        </w:rPr>
        <w:t>của hộ nghèo</w:t>
      </w:r>
      <w:r w:rsidR="004F6897" w:rsidRPr="00440785">
        <w:rPr>
          <w:b/>
          <w:sz w:val="26"/>
          <w:szCs w:val="26"/>
        </w:rPr>
        <w:t xml:space="preserve"> </w:t>
      </w:r>
      <w:r w:rsidR="00327EB2" w:rsidRPr="00440785">
        <w:rPr>
          <w:b/>
          <w:sz w:val="26"/>
          <w:szCs w:val="26"/>
        </w:rPr>
        <w:t>tại khu vực</w:t>
      </w:r>
      <w:r w:rsidR="004A0D5E" w:rsidRPr="00440785">
        <w:rPr>
          <w:b/>
          <w:sz w:val="26"/>
          <w:szCs w:val="26"/>
        </w:rPr>
        <w:t xml:space="preserve"> nông thôn</w:t>
      </w:r>
      <w:r w:rsidR="00327EB2" w:rsidRPr="00440785">
        <w:rPr>
          <w:b/>
          <w:sz w:val="26"/>
          <w:szCs w:val="26"/>
        </w:rPr>
        <w:t xml:space="preserve"> </w:t>
      </w:r>
      <w:r w:rsidR="0095764C" w:rsidRPr="00440785">
        <w:rPr>
          <w:b/>
          <w:sz w:val="26"/>
          <w:szCs w:val="26"/>
        </w:rPr>
        <w:t>trung du và miền núi phía bắc</w:t>
      </w:r>
    </w:p>
    <w:p w14:paraId="77331246" w14:textId="392A3433" w:rsidR="00EC79B6" w:rsidRPr="00440785" w:rsidRDefault="00752CEB" w:rsidP="003F327A">
      <w:pPr>
        <w:spacing w:line="480" w:lineRule="auto"/>
        <w:ind w:left="6327" w:firstLine="153"/>
        <w:jc w:val="both"/>
        <w:rPr>
          <w:sz w:val="26"/>
          <w:szCs w:val="26"/>
        </w:rPr>
      </w:pPr>
      <w:r w:rsidRPr="00440785">
        <w:rPr>
          <w:sz w:val="26"/>
          <w:szCs w:val="26"/>
        </w:rPr>
        <w:t>Phạm Tiến Anh</w:t>
      </w:r>
      <w:r w:rsidRPr="00440785">
        <w:rPr>
          <w:sz w:val="26"/>
          <w:szCs w:val="26"/>
          <w:vertAlign w:val="superscript"/>
        </w:rPr>
        <w:t>1</w:t>
      </w:r>
    </w:p>
    <w:p w14:paraId="355A86EB" w14:textId="0592EA1F" w:rsidR="00125257" w:rsidRPr="00440785" w:rsidRDefault="00EC79B6" w:rsidP="003F327A">
      <w:pPr>
        <w:spacing w:line="480" w:lineRule="auto"/>
        <w:ind w:left="567"/>
        <w:jc w:val="both"/>
        <w:rPr>
          <w:sz w:val="26"/>
          <w:szCs w:val="26"/>
        </w:rPr>
      </w:pPr>
      <w:r w:rsidRPr="00440785">
        <w:rPr>
          <w:sz w:val="26"/>
          <w:szCs w:val="26"/>
          <w:vertAlign w:val="superscript"/>
        </w:rPr>
        <w:t xml:space="preserve">1 </w:t>
      </w:r>
      <w:r w:rsidR="00856711" w:rsidRPr="00440785">
        <w:rPr>
          <w:sz w:val="26"/>
          <w:szCs w:val="26"/>
        </w:rPr>
        <w:t>nơi công tác</w:t>
      </w:r>
      <w:r w:rsidR="00752CEB" w:rsidRPr="00440785">
        <w:rPr>
          <w:sz w:val="26"/>
          <w:szCs w:val="26"/>
        </w:rPr>
        <w:t xml:space="preserve">, </w:t>
      </w:r>
      <w:r w:rsidR="00856711" w:rsidRPr="00440785">
        <w:rPr>
          <w:sz w:val="26"/>
          <w:szCs w:val="26"/>
        </w:rPr>
        <w:t>email</w:t>
      </w:r>
    </w:p>
    <w:p w14:paraId="047E9B36" w14:textId="29C4DBB4" w:rsidR="00752CEB" w:rsidRPr="00440785" w:rsidRDefault="00856711" w:rsidP="003F327A">
      <w:pPr>
        <w:spacing w:line="480" w:lineRule="auto"/>
        <w:ind w:left="567"/>
        <w:jc w:val="both"/>
        <w:rPr>
          <w:sz w:val="26"/>
          <w:szCs w:val="26"/>
        </w:rPr>
      </w:pPr>
      <w:r w:rsidRPr="00440785">
        <w:rPr>
          <w:sz w:val="26"/>
          <w:szCs w:val="26"/>
        </w:rPr>
        <w:t xml:space="preserve"> </w:t>
      </w:r>
    </w:p>
    <w:p w14:paraId="75E54F72" w14:textId="77777777" w:rsidR="00752CEB" w:rsidRPr="00440785" w:rsidRDefault="00752CEB" w:rsidP="003F327A">
      <w:pPr>
        <w:spacing w:line="480" w:lineRule="auto"/>
        <w:ind w:left="567"/>
        <w:jc w:val="both"/>
        <w:rPr>
          <w:sz w:val="26"/>
          <w:szCs w:val="26"/>
        </w:rPr>
      </w:pPr>
    </w:p>
    <w:p w14:paraId="2A6A13BC" w14:textId="77777777" w:rsidR="00EC79B6" w:rsidRPr="00440785" w:rsidRDefault="00EC79B6" w:rsidP="003F327A">
      <w:pPr>
        <w:spacing w:line="480" w:lineRule="auto"/>
        <w:ind w:left="567"/>
        <w:jc w:val="both"/>
        <w:rPr>
          <w:sz w:val="26"/>
          <w:szCs w:val="26"/>
        </w:rPr>
      </w:pPr>
    </w:p>
    <w:p w14:paraId="0EAE2B0C" w14:textId="77777777" w:rsidR="00EC79B6" w:rsidRPr="00440785" w:rsidRDefault="00EC79B6" w:rsidP="003F327A">
      <w:pPr>
        <w:spacing w:line="480" w:lineRule="auto"/>
        <w:ind w:left="567"/>
        <w:jc w:val="both"/>
        <w:rPr>
          <w:sz w:val="26"/>
          <w:szCs w:val="26"/>
        </w:rPr>
      </w:pPr>
    </w:p>
    <w:p w14:paraId="255336ED" w14:textId="77777777" w:rsidR="00EC79B6" w:rsidRPr="00440785" w:rsidRDefault="00EC79B6" w:rsidP="003F327A">
      <w:pPr>
        <w:spacing w:line="480" w:lineRule="auto"/>
        <w:ind w:left="567"/>
        <w:jc w:val="both"/>
        <w:rPr>
          <w:sz w:val="26"/>
          <w:szCs w:val="26"/>
        </w:rPr>
      </w:pPr>
    </w:p>
    <w:p w14:paraId="681C1C5B" w14:textId="77777777" w:rsidR="000B5B85" w:rsidRPr="00440785" w:rsidRDefault="000B5B85" w:rsidP="003F327A">
      <w:pPr>
        <w:spacing w:line="480" w:lineRule="auto"/>
        <w:jc w:val="both"/>
        <w:rPr>
          <w:sz w:val="26"/>
          <w:szCs w:val="26"/>
        </w:rPr>
      </w:pPr>
    </w:p>
    <w:p w14:paraId="1978C0BA" w14:textId="77777777" w:rsidR="000B5B85" w:rsidRPr="00440785" w:rsidRDefault="000B5B85" w:rsidP="003F327A">
      <w:pPr>
        <w:spacing w:line="480" w:lineRule="auto"/>
        <w:jc w:val="both"/>
        <w:rPr>
          <w:sz w:val="26"/>
          <w:szCs w:val="26"/>
        </w:rPr>
      </w:pPr>
    </w:p>
    <w:p w14:paraId="4886681A" w14:textId="77777777" w:rsidR="000B5B85" w:rsidRPr="00440785" w:rsidRDefault="000B5B85" w:rsidP="003F327A">
      <w:pPr>
        <w:spacing w:line="480" w:lineRule="auto"/>
        <w:jc w:val="both"/>
        <w:rPr>
          <w:sz w:val="26"/>
          <w:szCs w:val="26"/>
        </w:rPr>
      </w:pPr>
    </w:p>
    <w:p w14:paraId="675480B0" w14:textId="77777777" w:rsidR="000B5B85" w:rsidRPr="00440785" w:rsidRDefault="000B5B85" w:rsidP="003F327A">
      <w:pPr>
        <w:spacing w:line="480" w:lineRule="auto"/>
        <w:jc w:val="both"/>
        <w:rPr>
          <w:sz w:val="26"/>
          <w:szCs w:val="26"/>
        </w:rPr>
      </w:pPr>
    </w:p>
    <w:p w14:paraId="2FD9D893" w14:textId="77777777" w:rsidR="000B5B85" w:rsidRPr="00440785" w:rsidRDefault="000B5B85" w:rsidP="003F327A">
      <w:pPr>
        <w:spacing w:line="480" w:lineRule="auto"/>
        <w:jc w:val="both"/>
        <w:rPr>
          <w:sz w:val="26"/>
          <w:szCs w:val="26"/>
        </w:rPr>
      </w:pPr>
    </w:p>
    <w:p w14:paraId="535643D0" w14:textId="77777777" w:rsidR="000B5B85" w:rsidRPr="00440785" w:rsidRDefault="000B5B85" w:rsidP="003F327A">
      <w:pPr>
        <w:spacing w:line="480" w:lineRule="auto"/>
        <w:jc w:val="both"/>
        <w:rPr>
          <w:sz w:val="26"/>
          <w:szCs w:val="26"/>
        </w:rPr>
      </w:pPr>
    </w:p>
    <w:p w14:paraId="2F74562F" w14:textId="77777777" w:rsidR="000B5B85" w:rsidRPr="00440785" w:rsidRDefault="000B5B85" w:rsidP="003F327A">
      <w:pPr>
        <w:spacing w:line="480" w:lineRule="auto"/>
        <w:jc w:val="both"/>
        <w:rPr>
          <w:sz w:val="26"/>
          <w:szCs w:val="26"/>
        </w:rPr>
      </w:pPr>
    </w:p>
    <w:p w14:paraId="1D1B17D4" w14:textId="77777777" w:rsidR="000B5B85" w:rsidRPr="00440785" w:rsidRDefault="000B5B85" w:rsidP="003F327A">
      <w:pPr>
        <w:spacing w:line="480" w:lineRule="auto"/>
        <w:jc w:val="both"/>
        <w:rPr>
          <w:sz w:val="26"/>
          <w:szCs w:val="26"/>
        </w:rPr>
      </w:pPr>
    </w:p>
    <w:p w14:paraId="336DCFD2" w14:textId="77777777" w:rsidR="000B5B85" w:rsidRPr="00440785" w:rsidRDefault="000B5B85" w:rsidP="003F327A">
      <w:pPr>
        <w:spacing w:line="480" w:lineRule="auto"/>
        <w:jc w:val="both"/>
        <w:rPr>
          <w:sz w:val="26"/>
          <w:szCs w:val="26"/>
        </w:rPr>
      </w:pPr>
    </w:p>
    <w:p w14:paraId="16CA80C9" w14:textId="77777777" w:rsidR="000B5B85" w:rsidRPr="00440785" w:rsidRDefault="000B5B85" w:rsidP="003F327A">
      <w:pPr>
        <w:spacing w:line="480" w:lineRule="auto"/>
        <w:jc w:val="both"/>
        <w:rPr>
          <w:sz w:val="26"/>
          <w:szCs w:val="26"/>
        </w:rPr>
      </w:pPr>
    </w:p>
    <w:p w14:paraId="71BB5C29" w14:textId="77777777" w:rsidR="000B5B85" w:rsidRPr="00440785" w:rsidRDefault="000B5B85" w:rsidP="003F327A">
      <w:pPr>
        <w:spacing w:line="480" w:lineRule="auto"/>
        <w:jc w:val="both"/>
        <w:rPr>
          <w:sz w:val="26"/>
          <w:szCs w:val="26"/>
        </w:rPr>
      </w:pPr>
    </w:p>
    <w:p w14:paraId="3BCB7320" w14:textId="77777777" w:rsidR="000B5B85" w:rsidRPr="00440785" w:rsidRDefault="000B5B85" w:rsidP="003F327A">
      <w:pPr>
        <w:spacing w:line="480" w:lineRule="auto"/>
        <w:jc w:val="both"/>
        <w:rPr>
          <w:sz w:val="26"/>
          <w:szCs w:val="26"/>
        </w:rPr>
      </w:pPr>
    </w:p>
    <w:p w14:paraId="070C7190" w14:textId="77777777" w:rsidR="000B5B85" w:rsidRPr="00440785" w:rsidRDefault="000B5B85" w:rsidP="003F327A">
      <w:pPr>
        <w:spacing w:line="480" w:lineRule="auto"/>
        <w:jc w:val="both"/>
        <w:rPr>
          <w:sz w:val="26"/>
          <w:szCs w:val="26"/>
        </w:rPr>
      </w:pPr>
    </w:p>
    <w:p w14:paraId="52C6FA8F" w14:textId="77777777" w:rsidR="003F327A" w:rsidRDefault="003F327A" w:rsidP="003F327A">
      <w:pPr>
        <w:spacing w:line="480" w:lineRule="auto"/>
        <w:jc w:val="both"/>
        <w:rPr>
          <w:sz w:val="26"/>
          <w:szCs w:val="26"/>
        </w:rPr>
      </w:pPr>
    </w:p>
    <w:p w14:paraId="481DB062" w14:textId="05C13365" w:rsidR="00EC79B6" w:rsidRPr="00440785" w:rsidRDefault="00D60292" w:rsidP="003F327A">
      <w:pPr>
        <w:spacing w:line="480" w:lineRule="auto"/>
        <w:jc w:val="both"/>
        <w:rPr>
          <w:b/>
          <w:bCs/>
          <w:sz w:val="26"/>
          <w:szCs w:val="26"/>
        </w:rPr>
      </w:pPr>
      <w:r w:rsidRPr="00440785">
        <w:rPr>
          <w:b/>
          <w:bCs/>
          <w:sz w:val="26"/>
          <w:szCs w:val="26"/>
        </w:rPr>
        <w:lastRenderedPageBreak/>
        <w:t>Tóm tắt</w:t>
      </w:r>
      <w:r w:rsidR="00EC79B6" w:rsidRPr="00440785">
        <w:rPr>
          <w:b/>
          <w:bCs/>
          <w:sz w:val="26"/>
          <w:szCs w:val="26"/>
        </w:rPr>
        <w:t xml:space="preserve"> </w:t>
      </w:r>
    </w:p>
    <w:p w14:paraId="521E130D" w14:textId="593C1BCC" w:rsidR="00666E7F" w:rsidRPr="00440785" w:rsidRDefault="00666E7F" w:rsidP="003F327A">
      <w:pPr>
        <w:spacing w:line="480" w:lineRule="auto"/>
        <w:ind w:firstLine="567"/>
        <w:jc w:val="both"/>
        <w:rPr>
          <w:bCs/>
          <w:sz w:val="26"/>
          <w:szCs w:val="26"/>
        </w:rPr>
      </w:pPr>
      <w:r w:rsidRPr="00440785">
        <w:rPr>
          <w:bCs/>
          <w:sz w:val="26"/>
          <w:szCs w:val="26"/>
        </w:rPr>
        <w:t>Một số nhà kinh tế cho rằng tín dụng nông nghiệp và nông thôn có tác động rất lớn đến xóa đói giảm nghèo và hiệu quả sản xuất</w:t>
      </w:r>
      <w:r w:rsidR="004B4C2E" w:rsidRPr="00440785">
        <w:rPr>
          <w:bCs/>
          <w:sz w:val="26"/>
          <w:szCs w:val="26"/>
        </w:rPr>
        <w:t>, đặc biệt ở các quốc gia đang phát triển như Việt Nam</w:t>
      </w:r>
      <w:r w:rsidRPr="00440785">
        <w:rPr>
          <w:bCs/>
          <w:sz w:val="26"/>
          <w:szCs w:val="26"/>
        </w:rPr>
        <w:t>. Tuy nhiên, tín dụng phi chính thứ</w:t>
      </w:r>
      <w:r w:rsidR="00B17158" w:rsidRPr="00440785">
        <w:rPr>
          <w:bCs/>
          <w:sz w:val="26"/>
          <w:szCs w:val="26"/>
        </w:rPr>
        <w:t xml:space="preserve">c gần như khá </w:t>
      </w:r>
      <w:r w:rsidRPr="00440785">
        <w:rPr>
          <w:bCs/>
          <w:sz w:val="26"/>
          <w:szCs w:val="26"/>
        </w:rPr>
        <w:t>phổ biến ở các vùng nông thôn do hạn chế của thị trường</w:t>
      </w:r>
      <w:r w:rsidR="00B17158" w:rsidRPr="00440785">
        <w:rPr>
          <w:bCs/>
          <w:sz w:val="26"/>
          <w:szCs w:val="26"/>
        </w:rPr>
        <w:t xml:space="preserve"> tín dụng</w:t>
      </w:r>
      <w:r w:rsidRPr="00440785">
        <w:rPr>
          <w:bCs/>
          <w:sz w:val="26"/>
          <w:szCs w:val="26"/>
        </w:rPr>
        <w:t xml:space="preserve"> chính thứ</w:t>
      </w:r>
      <w:r w:rsidR="00F85933" w:rsidRPr="00440785">
        <w:rPr>
          <w:bCs/>
          <w:sz w:val="26"/>
          <w:szCs w:val="26"/>
        </w:rPr>
        <w:t>c. Nghiên cứu này</w:t>
      </w:r>
      <w:r w:rsidRPr="00440785">
        <w:rPr>
          <w:bCs/>
          <w:sz w:val="26"/>
          <w:szCs w:val="26"/>
        </w:rPr>
        <w:t xml:space="preserve"> nhằm mục đích nhận diệ</w:t>
      </w:r>
      <w:r w:rsidR="00477A3E" w:rsidRPr="00440785">
        <w:rPr>
          <w:bCs/>
          <w:sz w:val="26"/>
          <w:szCs w:val="26"/>
        </w:rPr>
        <w:t>n các nhân tố ảnh hưởng tới</w:t>
      </w:r>
      <w:r w:rsidRPr="00440785">
        <w:rPr>
          <w:bCs/>
          <w:sz w:val="26"/>
          <w:szCs w:val="26"/>
        </w:rPr>
        <w:t xml:space="preserve"> khả năng tiếp cận tín dụng</w:t>
      </w:r>
      <w:r w:rsidR="00F82E61" w:rsidRPr="00440785">
        <w:rPr>
          <w:bCs/>
          <w:sz w:val="26"/>
          <w:szCs w:val="26"/>
        </w:rPr>
        <w:t xml:space="preserve"> chính thức của hộ nghèo</w:t>
      </w:r>
      <w:r w:rsidRPr="00440785">
        <w:rPr>
          <w:bCs/>
          <w:sz w:val="26"/>
          <w:szCs w:val="26"/>
        </w:rPr>
        <w:t xml:space="preserve"> ở</w:t>
      </w:r>
      <w:r w:rsidR="00C50BAB" w:rsidRPr="00440785">
        <w:rPr>
          <w:bCs/>
          <w:sz w:val="26"/>
          <w:szCs w:val="26"/>
        </w:rPr>
        <w:t xml:space="preserve"> các vùng nông thôn </w:t>
      </w:r>
      <w:r w:rsidRPr="00440785">
        <w:rPr>
          <w:bCs/>
          <w:sz w:val="26"/>
          <w:szCs w:val="26"/>
        </w:rPr>
        <w:t>của Việt Nam</w:t>
      </w:r>
      <w:r w:rsidR="00C50BAB" w:rsidRPr="00440785">
        <w:rPr>
          <w:bCs/>
          <w:sz w:val="26"/>
          <w:szCs w:val="26"/>
        </w:rPr>
        <w:t xml:space="preserve"> với nghiên cứu điển hình tại </w:t>
      </w:r>
      <w:r w:rsidRPr="00440785">
        <w:rPr>
          <w:bCs/>
          <w:sz w:val="26"/>
          <w:szCs w:val="26"/>
        </w:rPr>
        <w:t>khu vự</w:t>
      </w:r>
      <w:r w:rsidR="00B17158" w:rsidRPr="00440785">
        <w:rPr>
          <w:bCs/>
          <w:sz w:val="26"/>
          <w:szCs w:val="26"/>
        </w:rPr>
        <w:t>c trung du và miền núi</w:t>
      </w:r>
      <w:r w:rsidR="00C50BAB" w:rsidRPr="00440785">
        <w:rPr>
          <w:bCs/>
          <w:sz w:val="26"/>
          <w:szCs w:val="26"/>
        </w:rPr>
        <w:t xml:space="preserve"> phía Bắ</w:t>
      </w:r>
      <w:r w:rsidR="00F82E61" w:rsidRPr="00440785">
        <w:rPr>
          <w:bCs/>
          <w:sz w:val="26"/>
          <w:szCs w:val="26"/>
        </w:rPr>
        <w:t>c</w:t>
      </w:r>
      <w:r w:rsidRPr="00440785">
        <w:rPr>
          <w:bCs/>
          <w:sz w:val="26"/>
          <w:szCs w:val="26"/>
        </w:rPr>
        <w:t>. Bài báo sử dụng dữ liệu từ Khảo sát mức sống hộ gia đình Việ</w:t>
      </w:r>
      <w:r w:rsidR="000139B2" w:rsidRPr="00440785">
        <w:rPr>
          <w:bCs/>
          <w:sz w:val="26"/>
          <w:szCs w:val="26"/>
        </w:rPr>
        <w:t>t Nam 2020 (VHLSS 2020</w:t>
      </w:r>
      <w:r w:rsidRPr="00440785">
        <w:rPr>
          <w:bCs/>
          <w:sz w:val="26"/>
          <w:szCs w:val="26"/>
        </w:rPr>
        <w:t>) của Tổng cục Thống kê Việ</w:t>
      </w:r>
      <w:r w:rsidR="00B17158" w:rsidRPr="00440785">
        <w:rPr>
          <w:bCs/>
          <w:sz w:val="26"/>
          <w:szCs w:val="26"/>
        </w:rPr>
        <w:t xml:space="preserve">t Nam. Mô hình </w:t>
      </w:r>
      <w:r w:rsidR="00F82E61" w:rsidRPr="00440785">
        <w:rPr>
          <w:bCs/>
          <w:sz w:val="26"/>
          <w:szCs w:val="26"/>
        </w:rPr>
        <w:t xml:space="preserve">probit </w:t>
      </w:r>
      <w:r w:rsidRPr="00440785">
        <w:rPr>
          <w:bCs/>
          <w:sz w:val="26"/>
          <w:szCs w:val="26"/>
        </w:rPr>
        <w:t>được áp dụng để nghiên cứu các yếu tố quyết định</w:t>
      </w:r>
      <w:r w:rsidR="004C32A3" w:rsidRPr="00440785">
        <w:rPr>
          <w:bCs/>
          <w:sz w:val="26"/>
          <w:szCs w:val="26"/>
        </w:rPr>
        <w:t xml:space="preserve"> tới</w:t>
      </w:r>
      <w:r w:rsidRPr="00440785">
        <w:rPr>
          <w:bCs/>
          <w:sz w:val="26"/>
          <w:szCs w:val="26"/>
        </w:rPr>
        <w:t xml:space="preserve"> khả năng tiếp cận tín dụng</w:t>
      </w:r>
      <w:r w:rsidR="00F82E61" w:rsidRPr="00440785">
        <w:rPr>
          <w:bCs/>
          <w:sz w:val="26"/>
          <w:szCs w:val="26"/>
        </w:rPr>
        <w:t xml:space="preserve"> chính thức</w:t>
      </w:r>
      <w:r w:rsidRPr="00440785">
        <w:rPr>
          <w:bCs/>
          <w:sz w:val="26"/>
          <w:szCs w:val="26"/>
        </w:rPr>
        <w:t xml:space="preserve"> của hộ</w:t>
      </w:r>
      <w:r w:rsidR="00F82E61" w:rsidRPr="00440785">
        <w:rPr>
          <w:bCs/>
          <w:sz w:val="26"/>
          <w:szCs w:val="26"/>
        </w:rPr>
        <w:t xml:space="preserve"> gia đình</w:t>
      </w:r>
      <w:r w:rsidR="004C32A3" w:rsidRPr="00440785">
        <w:rPr>
          <w:bCs/>
          <w:sz w:val="26"/>
          <w:szCs w:val="26"/>
        </w:rPr>
        <w:t>. N</w:t>
      </w:r>
      <w:r w:rsidRPr="00440785">
        <w:rPr>
          <w:bCs/>
          <w:sz w:val="26"/>
          <w:szCs w:val="26"/>
        </w:rPr>
        <w:t>hững phát hiệ</w:t>
      </w:r>
      <w:r w:rsidR="004C32A3" w:rsidRPr="00440785">
        <w:rPr>
          <w:bCs/>
          <w:sz w:val="26"/>
          <w:szCs w:val="26"/>
        </w:rPr>
        <w:t>n này có ý nghĩa về mặt chính sách trong</w:t>
      </w:r>
      <w:r w:rsidRPr="00440785">
        <w:rPr>
          <w:bCs/>
          <w:sz w:val="26"/>
          <w:szCs w:val="26"/>
        </w:rPr>
        <w:t xml:space="preserve"> việc tăng cường khả năng tiếp cận tín dụng chính thức và giảm sự phụ thuộc vào thị trường phi chính thứ</w:t>
      </w:r>
      <w:r w:rsidR="004C32A3" w:rsidRPr="00440785">
        <w:rPr>
          <w:bCs/>
          <w:sz w:val="26"/>
          <w:szCs w:val="26"/>
        </w:rPr>
        <w:t>c của hộ</w:t>
      </w:r>
      <w:r w:rsidR="00F82E61" w:rsidRPr="00440785">
        <w:rPr>
          <w:bCs/>
          <w:sz w:val="26"/>
          <w:szCs w:val="26"/>
        </w:rPr>
        <w:t xml:space="preserve"> nghèo.</w:t>
      </w:r>
    </w:p>
    <w:p w14:paraId="690D7567" w14:textId="4CB5A946" w:rsidR="00EC79B6" w:rsidRPr="00440785" w:rsidRDefault="005A2BC7" w:rsidP="003F327A">
      <w:pPr>
        <w:spacing w:line="480" w:lineRule="auto"/>
        <w:jc w:val="both"/>
        <w:rPr>
          <w:bCs/>
          <w:sz w:val="26"/>
          <w:szCs w:val="26"/>
        </w:rPr>
      </w:pPr>
      <w:r w:rsidRPr="00440785">
        <w:rPr>
          <w:bCs/>
          <w:sz w:val="26"/>
          <w:szCs w:val="26"/>
        </w:rPr>
        <w:t>Từ khoá</w:t>
      </w:r>
      <w:r w:rsidR="00EC79B6" w:rsidRPr="00440785">
        <w:rPr>
          <w:bCs/>
          <w:sz w:val="26"/>
          <w:szCs w:val="26"/>
        </w:rPr>
        <w:t xml:space="preserve">: </w:t>
      </w:r>
      <w:r w:rsidR="00D723ED" w:rsidRPr="00440785">
        <w:rPr>
          <w:bCs/>
          <w:sz w:val="26"/>
          <w:szCs w:val="26"/>
        </w:rPr>
        <w:t>Tiếp cận tín dụ</w:t>
      </w:r>
      <w:r w:rsidR="00005A61" w:rsidRPr="00440785">
        <w:rPr>
          <w:bCs/>
          <w:sz w:val="26"/>
          <w:szCs w:val="26"/>
        </w:rPr>
        <w:t>ng, hộ nghèo</w:t>
      </w:r>
      <w:r w:rsidR="00D723ED" w:rsidRPr="00440785">
        <w:rPr>
          <w:bCs/>
          <w:sz w:val="26"/>
          <w:szCs w:val="26"/>
        </w:rPr>
        <w:t>, thị trường tín dụng</w:t>
      </w:r>
      <w:r w:rsidR="00182ABE">
        <w:rPr>
          <w:bCs/>
          <w:sz w:val="26"/>
          <w:szCs w:val="26"/>
        </w:rPr>
        <w:t xml:space="preserve"> chính thức</w:t>
      </w:r>
    </w:p>
    <w:p w14:paraId="4B411E6F" w14:textId="77777777" w:rsidR="005852CF" w:rsidRDefault="005852CF" w:rsidP="003F327A">
      <w:pPr>
        <w:spacing w:line="480" w:lineRule="auto"/>
        <w:jc w:val="both"/>
        <w:rPr>
          <w:bCs/>
          <w:sz w:val="26"/>
          <w:szCs w:val="26"/>
        </w:rPr>
      </w:pPr>
    </w:p>
    <w:p w14:paraId="36870F60" w14:textId="77777777" w:rsidR="003F327A" w:rsidRDefault="003F327A" w:rsidP="003F327A">
      <w:pPr>
        <w:spacing w:line="480" w:lineRule="auto"/>
        <w:jc w:val="both"/>
        <w:rPr>
          <w:bCs/>
          <w:sz w:val="26"/>
          <w:szCs w:val="26"/>
        </w:rPr>
      </w:pPr>
    </w:p>
    <w:p w14:paraId="76659E07" w14:textId="77777777" w:rsidR="003F327A" w:rsidRDefault="003F327A" w:rsidP="003F327A">
      <w:pPr>
        <w:spacing w:line="480" w:lineRule="auto"/>
        <w:jc w:val="both"/>
        <w:rPr>
          <w:bCs/>
          <w:sz w:val="26"/>
          <w:szCs w:val="26"/>
        </w:rPr>
      </w:pPr>
    </w:p>
    <w:p w14:paraId="336C6FAD" w14:textId="77777777" w:rsidR="003F327A" w:rsidRDefault="003F327A" w:rsidP="003F327A">
      <w:pPr>
        <w:spacing w:line="480" w:lineRule="auto"/>
        <w:jc w:val="both"/>
        <w:rPr>
          <w:bCs/>
          <w:sz w:val="26"/>
          <w:szCs w:val="26"/>
        </w:rPr>
      </w:pPr>
    </w:p>
    <w:p w14:paraId="62050082" w14:textId="77777777" w:rsidR="003F327A" w:rsidRDefault="003F327A" w:rsidP="003F327A">
      <w:pPr>
        <w:spacing w:line="480" w:lineRule="auto"/>
        <w:jc w:val="both"/>
        <w:rPr>
          <w:bCs/>
          <w:sz w:val="26"/>
          <w:szCs w:val="26"/>
        </w:rPr>
      </w:pPr>
    </w:p>
    <w:p w14:paraId="74F1720F" w14:textId="77777777" w:rsidR="003F327A" w:rsidRDefault="003F327A" w:rsidP="003F327A">
      <w:pPr>
        <w:spacing w:line="480" w:lineRule="auto"/>
        <w:jc w:val="both"/>
        <w:rPr>
          <w:bCs/>
          <w:sz w:val="26"/>
          <w:szCs w:val="26"/>
        </w:rPr>
      </w:pPr>
    </w:p>
    <w:p w14:paraId="6DB1ACCC" w14:textId="77777777" w:rsidR="003F327A" w:rsidRDefault="003F327A" w:rsidP="003F327A">
      <w:pPr>
        <w:spacing w:line="480" w:lineRule="auto"/>
        <w:jc w:val="both"/>
        <w:rPr>
          <w:bCs/>
          <w:sz w:val="26"/>
          <w:szCs w:val="26"/>
        </w:rPr>
      </w:pPr>
    </w:p>
    <w:p w14:paraId="543EF7FB" w14:textId="77777777" w:rsidR="003F327A" w:rsidRDefault="003F327A" w:rsidP="003F327A">
      <w:pPr>
        <w:spacing w:line="480" w:lineRule="auto"/>
        <w:jc w:val="both"/>
        <w:rPr>
          <w:bCs/>
          <w:sz w:val="26"/>
          <w:szCs w:val="26"/>
        </w:rPr>
      </w:pPr>
    </w:p>
    <w:p w14:paraId="0EBC4B5A" w14:textId="77777777" w:rsidR="003F327A" w:rsidRDefault="003F327A" w:rsidP="003F327A">
      <w:pPr>
        <w:spacing w:line="480" w:lineRule="auto"/>
        <w:jc w:val="both"/>
        <w:rPr>
          <w:bCs/>
          <w:sz w:val="26"/>
          <w:szCs w:val="26"/>
        </w:rPr>
      </w:pPr>
    </w:p>
    <w:p w14:paraId="68A37623" w14:textId="77777777" w:rsidR="003F327A" w:rsidRPr="00440785" w:rsidRDefault="003F327A" w:rsidP="003F327A">
      <w:pPr>
        <w:spacing w:line="480" w:lineRule="auto"/>
        <w:jc w:val="both"/>
        <w:rPr>
          <w:bCs/>
          <w:sz w:val="26"/>
          <w:szCs w:val="26"/>
        </w:rPr>
      </w:pPr>
    </w:p>
    <w:p w14:paraId="5CC14B64" w14:textId="4A11CCA6" w:rsidR="00877C37" w:rsidRPr="00440785" w:rsidRDefault="004C32A3" w:rsidP="003F327A">
      <w:pPr>
        <w:spacing w:line="480" w:lineRule="auto"/>
        <w:jc w:val="both"/>
        <w:rPr>
          <w:b/>
          <w:sz w:val="26"/>
          <w:szCs w:val="26"/>
        </w:rPr>
      </w:pPr>
      <w:r w:rsidRPr="00440785">
        <w:rPr>
          <w:b/>
          <w:sz w:val="26"/>
          <w:szCs w:val="26"/>
        </w:rPr>
        <w:lastRenderedPageBreak/>
        <w:t>1. Giới thiệu</w:t>
      </w:r>
    </w:p>
    <w:p w14:paraId="33DD715B" w14:textId="6A7379A4" w:rsidR="005B037F" w:rsidRPr="00440785" w:rsidRDefault="005B037F" w:rsidP="003F327A">
      <w:pPr>
        <w:spacing w:line="480" w:lineRule="auto"/>
        <w:ind w:firstLine="567"/>
        <w:jc w:val="both"/>
        <w:rPr>
          <w:sz w:val="26"/>
          <w:szCs w:val="26"/>
        </w:rPr>
      </w:pPr>
      <w:r w:rsidRPr="00440785">
        <w:rPr>
          <w:sz w:val="26"/>
          <w:szCs w:val="26"/>
        </w:rPr>
        <w:t>Việt Nam là một quốc gia đang phát triển với 70% dân số sống ở nông thôn, nơi thu nhập chính có được từ sản xuất nông nghiệp (GSO, 2022). Tuy nhiên,</w:t>
      </w:r>
      <w:r w:rsidR="00C50BAB" w:rsidRPr="00440785">
        <w:rPr>
          <w:sz w:val="26"/>
          <w:szCs w:val="26"/>
        </w:rPr>
        <w:t xml:space="preserve"> việc tiếp cận các nguồn vốn tín dụng để phục vụ cho</w:t>
      </w:r>
      <w:r w:rsidR="00FD0FBB" w:rsidRPr="00440785">
        <w:rPr>
          <w:sz w:val="26"/>
          <w:szCs w:val="26"/>
        </w:rPr>
        <w:t xml:space="preserve"> các hoạt động</w:t>
      </w:r>
      <w:r w:rsidR="00C50BAB" w:rsidRPr="00440785">
        <w:rPr>
          <w:sz w:val="26"/>
          <w:szCs w:val="26"/>
        </w:rPr>
        <w:t xml:space="preserve"> sản xuất còn rất khó khăn</w:t>
      </w:r>
      <w:r w:rsidRPr="00440785">
        <w:rPr>
          <w:sz w:val="26"/>
          <w:szCs w:val="26"/>
        </w:rPr>
        <w:t>.</w:t>
      </w:r>
      <w:r w:rsidR="00FD0FBB" w:rsidRPr="00440785">
        <w:rPr>
          <w:sz w:val="26"/>
          <w:szCs w:val="26"/>
        </w:rPr>
        <w:t xml:space="preserve"> </w:t>
      </w:r>
      <w:r w:rsidRPr="00440785">
        <w:rPr>
          <w:sz w:val="26"/>
          <w:szCs w:val="26"/>
        </w:rPr>
        <w:t>Trên thực tế,</w:t>
      </w:r>
      <w:r w:rsidR="0029356D" w:rsidRPr="00440785">
        <w:rPr>
          <w:sz w:val="26"/>
          <w:szCs w:val="26"/>
        </w:rPr>
        <w:t xml:space="preserve"> tín dụ</w:t>
      </w:r>
      <w:r w:rsidR="00FD0FBB" w:rsidRPr="00440785">
        <w:rPr>
          <w:sz w:val="26"/>
          <w:szCs w:val="26"/>
        </w:rPr>
        <w:t xml:space="preserve">ng chính thức và phi chính thức tồn tại song song ở </w:t>
      </w:r>
      <w:r w:rsidR="0029356D" w:rsidRPr="00440785">
        <w:rPr>
          <w:sz w:val="26"/>
          <w:szCs w:val="26"/>
        </w:rPr>
        <w:t>nông thôn Việ</w:t>
      </w:r>
      <w:r w:rsidR="00FD0FBB" w:rsidRPr="00440785">
        <w:rPr>
          <w:sz w:val="26"/>
          <w:szCs w:val="26"/>
        </w:rPr>
        <w:t>t Nam hiện nay.</w:t>
      </w:r>
      <w:r w:rsidR="00E356C9">
        <w:rPr>
          <w:sz w:val="26"/>
          <w:szCs w:val="26"/>
        </w:rPr>
        <w:t xml:space="preserve"> </w:t>
      </w:r>
      <w:r w:rsidR="00FD0FBB" w:rsidRPr="00440785">
        <w:rPr>
          <w:sz w:val="26"/>
          <w:szCs w:val="26"/>
        </w:rPr>
        <w:t>N</w:t>
      </w:r>
      <w:r w:rsidR="0029356D" w:rsidRPr="00440785">
        <w:rPr>
          <w:sz w:val="26"/>
          <w:szCs w:val="26"/>
        </w:rPr>
        <w:t>gười nông dân gặp ít rào cả</w:t>
      </w:r>
      <w:r w:rsidR="00FD0FBB" w:rsidRPr="00440785">
        <w:rPr>
          <w:sz w:val="26"/>
          <w:szCs w:val="26"/>
        </w:rPr>
        <w:t xml:space="preserve">n </w:t>
      </w:r>
      <w:r w:rsidR="0029356D" w:rsidRPr="00440785">
        <w:rPr>
          <w:sz w:val="26"/>
          <w:szCs w:val="26"/>
        </w:rPr>
        <w:t>khi tiếp cận tín dụng phi chính thức hơn chính thứ</w:t>
      </w:r>
      <w:r w:rsidR="00077F6E" w:rsidRPr="00440785">
        <w:rPr>
          <w:sz w:val="26"/>
          <w:szCs w:val="26"/>
        </w:rPr>
        <w:t>c</w:t>
      </w:r>
      <w:r w:rsidR="00FD0FBB" w:rsidRPr="00440785">
        <w:rPr>
          <w:sz w:val="26"/>
          <w:szCs w:val="26"/>
        </w:rPr>
        <w:t>.</w:t>
      </w:r>
    </w:p>
    <w:p w14:paraId="515283AE" w14:textId="4629D3CE" w:rsidR="005B037F" w:rsidRPr="00440785" w:rsidRDefault="005B037F" w:rsidP="003F327A">
      <w:pPr>
        <w:spacing w:line="480" w:lineRule="auto"/>
        <w:ind w:firstLine="567"/>
        <w:jc w:val="both"/>
        <w:rPr>
          <w:sz w:val="26"/>
          <w:szCs w:val="26"/>
        </w:rPr>
      </w:pPr>
      <w:r w:rsidRPr="00440785">
        <w:rPr>
          <w:sz w:val="26"/>
          <w:szCs w:val="26"/>
        </w:rPr>
        <w:t>Khu vực trung du và miền núi phía Bắc chiếm 30.7% diện tích và 14.4% dân số cả nước. Đây là vùng lãnh thổ có diện tích rộng nhất trong các vùng kinh tế, bao gồm 14 tỉnh. Đây là khu vực có tỷ lệ nghèo đa chiều (gồm tỷ lệ hộ nghèo và hộ cận nghèo) cao nhất cả nước, vớ</w:t>
      </w:r>
      <w:r w:rsidR="00FD0FBB" w:rsidRPr="00440785">
        <w:rPr>
          <w:sz w:val="26"/>
          <w:szCs w:val="26"/>
        </w:rPr>
        <w:t>i xấp xỉ 11.3</w:t>
      </w:r>
      <w:r w:rsidRPr="00440785">
        <w:rPr>
          <w:sz w:val="26"/>
          <w:szCs w:val="26"/>
        </w:rPr>
        <w:t>%</w:t>
      </w:r>
      <w:r w:rsidR="00AC7985" w:rsidRPr="00440785">
        <w:rPr>
          <w:sz w:val="26"/>
          <w:szCs w:val="26"/>
        </w:rPr>
        <w:t xml:space="preserve"> </w:t>
      </w:r>
      <w:r w:rsidRPr="00440785">
        <w:rPr>
          <w:sz w:val="26"/>
          <w:szCs w:val="26"/>
        </w:rPr>
        <w:t>( Bộ Lao động- Thương binh và Xã hộ</w:t>
      </w:r>
      <w:r w:rsidR="00EE4A74" w:rsidRPr="00440785">
        <w:rPr>
          <w:sz w:val="26"/>
          <w:szCs w:val="26"/>
        </w:rPr>
        <w:t>i, 2023).</w:t>
      </w:r>
    </w:p>
    <w:p w14:paraId="27E4D240" w14:textId="63B41EBB" w:rsidR="005B037F" w:rsidRPr="00440785" w:rsidRDefault="00AC7985" w:rsidP="003F327A">
      <w:pPr>
        <w:spacing w:line="480" w:lineRule="auto"/>
        <w:ind w:firstLine="567"/>
        <w:jc w:val="both"/>
        <w:rPr>
          <w:sz w:val="26"/>
          <w:szCs w:val="26"/>
        </w:rPr>
      </w:pPr>
      <w:r w:rsidRPr="00440785">
        <w:rPr>
          <w:sz w:val="26"/>
          <w:szCs w:val="26"/>
        </w:rPr>
        <w:t>Vì vậy</w:t>
      </w:r>
      <w:r w:rsidR="005B037F" w:rsidRPr="00440785">
        <w:rPr>
          <w:sz w:val="26"/>
          <w:szCs w:val="26"/>
        </w:rPr>
        <w:t>, mục tiêu của nghiên cứu này là tìm ra các yếu tố quyết định tiếp cận tín dụng</w:t>
      </w:r>
      <w:r w:rsidR="00FD0FBB" w:rsidRPr="00440785">
        <w:rPr>
          <w:sz w:val="26"/>
          <w:szCs w:val="26"/>
        </w:rPr>
        <w:t xml:space="preserve"> chính thức</w:t>
      </w:r>
      <w:r w:rsidR="005B037F" w:rsidRPr="00440785">
        <w:rPr>
          <w:sz w:val="26"/>
          <w:szCs w:val="26"/>
        </w:rPr>
        <w:t xml:space="preserve"> của hộ</w:t>
      </w:r>
      <w:r w:rsidR="00FD0FBB" w:rsidRPr="00440785">
        <w:rPr>
          <w:sz w:val="26"/>
          <w:szCs w:val="26"/>
        </w:rPr>
        <w:t xml:space="preserve"> nghèo</w:t>
      </w:r>
      <w:r w:rsidR="005B037F" w:rsidRPr="00440785">
        <w:rPr>
          <w:sz w:val="26"/>
          <w:szCs w:val="26"/>
        </w:rPr>
        <w:t xml:space="preserve"> ở</w:t>
      </w:r>
      <w:r w:rsidRPr="00440785">
        <w:rPr>
          <w:sz w:val="26"/>
          <w:szCs w:val="26"/>
        </w:rPr>
        <w:t xml:space="preserve"> các vùng nông thôn trung du và miền núi phía bắc. </w:t>
      </w:r>
      <w:r w:rsidR="005B037F" w:rsidRPr="00440785">
        <w:rPr>
          <w:sz w:val="26"/>
          <w:szCs w:val="26"/>
        </w:rPr>
        <w:t>Phần 2</w:t>
      </w:r>
      <w:r w:rsidRPr="00440785">
        <w:rPr>
          <w:sz w:val="26"/>
          <w:szCs w:val="26"/>
        </w:rPr>
        <w:t xml:space="preserve"> của bài báo sẽ</w:t>
      </w:r>
      <w:r w:rsidR="005B037F" w:rsidRPr="00440785">
        <w:rPr>
          <w:sz w:val="26"/>
          <w:szCs w:val="26"/>
        </w:rPr>
        <w:t xml:space="preserve"> tóm tắ</w:t>
      </w:r>
      <w:r w:rsidRPr="00440785">
        <w:rPr>
          <w:sz w:val="26"/>
          <w:szCs w:val="26"/>
        </w:rPr>
        <w:t>t tổng quan</w:t>
      </w:r>
      <w:r w:rsidR="005B037F" w:rsidRPr="00440785">
        <w:rPr>
          <w:sz w:val="26"/>
          <w:szCs w:val="26"/>
        </w:rPr>
        <w:t xml:space="preserve"> về</w:t>
      </w:r>
      <w:r w:rsidRPr="00440785">
        <w:rPr>
          <w:sz w:val="26"/>
          <w:szCs w:val="26"/>
        </w:rPr>
        <w:t xml:space="preserve"> các nhân tố ảnh hưởng tới tiếp cận tín dụng</w:t>
      </w:r>
      <w:r w:rsidR="00FD0FBB" w:rsidRPr="00440785">
        <w:rPr>
          <w:sz w:val="26"/>
          <w:szCs w:val="26"/>
        </w:rPr>
        <w:t xml:space="preserve"> chính thức</w:t>
      </w:r>
      <w:r w:rsidR="005B037F" w:rsidRPr="00440785">
        <w:rPr>
          <w:sz w:val="26"/>
          <w:szCs w:val="26"/>
        </w:rPr>
        <w:t>. Phần 3 trình bày phương pháp luận được sử dụng trong bài báo này. Một số kết quả và thảo luận về các yếu tố</w:t>
      </w:r>
      <w:r w:rsidR="00FD0FBB" w:rsidRPr="00440785">
        <w:rPr>
          <w:sz w:val="26"/>
          <w:szCs w:val="26"/>
        </w:rPr>
        <w:t xml:space="preserve"> ảnh hưởng đến tiếp cận tín dụng chính thức </w:t>
      </w:r>
      <w:r w:rsidR="005B037F" w:rsidRPr="00440785">
        <w:rPr>
          <w:sz w:val="26"/>
          <w:szCs w:val="26"/>
        </w:rPr>
        <w:t>được trình bày trong phần 4. Trên cơ sở đó, một số hàm ý</w:t>
      </w:r>
      <w:r w:rsidR="00B468F5" w:rsidRPr="00440785">
        <w:rPr>
          <w:sz w:val="26"/>
          <w:szCs w:val="26"/>
        </w:rPr>
        <w:t xml:space="preserve"> chính sách</w:t>
      </w:r>
      <w:r w:rsidR="005B037F" w:rsidRPr="00440785">
        <w:rPr>
          <w:sz w:val="26"/>
          <w:szCs w:val="26"/>
        </w:rPr>
        <w:t xml:space="preserve"> được đề xuất trong phần 5.</w:t>
      </w:r>
    </w:p>
    <w:p w14:paraId="3ED5194C" w14:textId="082C15B6" w:rsidR="00430DC0" w:rsidRPr="00440785" w:rsidRDefault="000E0630" w:rsidP="003F327A">
      <w:pPr>
        <w:spacing w:line="480" w:lineRule="auto"/>
        <w:jc w:val="both"/>
        <w:rPr>
          <w:b/>
          <w:sz w:val="26"/>
          <w:szCs w:val="26"/>
        </w:rPr>
      </w:pPr>
      <w:r w:rsidRPr="00440785">
        <w:rPr>
          <w:b/>
          <w:sz w:val="26"/>
          <w:szCs w:val="26"/>
        </w:rPr>
        <w:t>2</w:t>
      </w:r>
      <w:r w:rsidR="002458CC" w:rsidRPr="00440785">
        <w:rPr>
          <w:b/>
          <w:sz w:val="26"/>
          <w:szCs w:val="26"/>
        </w:rPr>
        <w:t>. Tổng quan lý thuyết</w:t>
      </w:r>
    </w:p>
    <w:p w14:paraId="605272BF" w14:textId="4DD206A9" w:rsidR="00CB5F2D" w:rsidRPr="00440785" w:rsidRDefault="00027077" w:rsidP="003F327A">
      <w:pPr>
        <w:spacing w:line="480" w:lineRule="auto"/>
        <w:jc w:val="both"/>
        <w:rPr>
          <w:b/>
          <w:i/>
          <w:sz w:val="26"/>
          <w:szCs w:val="26"/>
        </w:rPr>
      </w:pPr>
      <w:r w:rsidRPr="00440785">
        <w:rPr>
          <w:b/>
          <w:i/>
          <w:sz w:val="26"/>
          <w:szCs w:val="26"/>
        </w:rPr>
        <w:t xml:space="preserve">2.1. </w:t>
      </w:r>
      <w:r w:rsidR="002458CC" w:rsidRPr="00440785">
        <w:rPr>
          <w:b/>
          <w:i/>
          <w:sz w:val="26"/>
          <w:szCs w:val="26"/>
        </w:rPr>
        <w:t>Các nhân tố ảnh hưởng tới tiếp cận tín dụng</w:t>
      </w:r>
    </w:p>
    <w:p w14:paraId="550D5EFA" w14:textId="325FDAB0" w:rsidR="002458CC" w:rsidRPr="00440785" w:rsidRDefault="002458CC" w:rsidP="003F327A">
      <w:pPr>
        <w:spacing w:line="480" w:lineRule="auto"/>
        <w:ind w:firstLine="567"/>
        <w:jc w:val="both"/>
        <w:rPr>
          <w:sz w:val="26"/>
          <w:szCs w:val="26"/>
        </w:rPr>
      </w:pPr>
      <w:r w:rsidRPr="00440785">
        <w:rPr>
          <w:sz w:val="26"/>
          <w:szCs w:val="26"/>
        </w:rPr>
        <w:t xml:space="preserve">Đặc điểm của hộ gia đình là các yếu tố kinh tế xã hội bao gồm nhân khẩu học, thu nhập/tài sản, sản xuất, tín dụng và các đặc điểm xã hội của hộ gia đình và chủ hộ. Các yếu tố đã được xác định trong nhiều nghiên cứu </w:t>
      </w:r>
      <w:r w:rsidR="00A93F1B" w:rsidRPr="00440785">
        <w:rPr>
          <w:sz w:val="26"/>
          <w:szCs w:val="26"/>
        </w:rPr>
        <w:t xml:space="preserve">trước đây có </w:t>
      </w:r>
      <w:r w:rsidR="0029356D" w:rsidRPr="00440785">
        <w:rPr>
          <w:sz w:val="26"/>
          <w:szCs w:val="26"/>
        </w:rPr>
        <w:t>ảnh hưởng tới</w:t>
      </w:r>
      <w:r w:rsidRPr="00440785">
        <w:rPr>
          <w:sz w:val="26"/>
          <w:szCs w:val="26"/>
        </w:rPr>
        <w:t xml:space="preserve"> khả năng tiếp cận tín dụng</w:t>
      </w:r>
      <w:r w:rsidR="00A93F1B" w:rsidRPr="00440785">
        <w:rPr>
          <w:sz w:val="26"/>
          <w:szCs w:val="26"/>
        </w:rPr>
        <w:t xml:space="preserve"> của hộ gia đình</w:t>
      </w:r>
      <w:r w:rsidRPr="00440785">
        <w:rPr>
          <w:sz w:val="26"/>
          <w:szCs w:val="26"/>
        </w:rPr>
        <w:t xml:space="preserve">. Các yếu tố nhân khẩu học có thể bao gồm </w:t>
      </w:r>
      <w:r w:rsidRPr="00440785">
        <w:rPr>
          <w:sz w:val="26"/>
          <w:szCs w:val="26"/>
        </w:rPr>
        <w:lastRenderedPageBreak/>
        <w:t>thông tin của hộ gia đình và chủ hộ, chẳng hạn như: tuổi, giới tính, trình độ học vấn, kinh nghiệm làm nông, số lượng thành viên gia đình, tỷ lệ phụ thuộc, v.v. trong khi các yếu tố thu nhập/tài sản bao gồm: thu nhập nông nghiệp và phi nông nghiệp, tiền tiết kiệm, quyền sở hữu đất đai. Các đặc điểm sản xuất tập trung vào quy mô trang trại/diện tích trang trại hoặc giá trị vật nuôi. Lịch sử tín dụng sẽ được sử dụng để đánh giá khả năng tín dụng của khách hàng. Vốn xã hội/mạng lưới xã hội có thể được coi là các yếu tố định tính có tác động lớn đến khả năng tiếp cận tín dụng của hộ gia đình, đặc biệt là ở các nước đang phát triển. Đại diện của yếu tố này được mô tả khác nhau trong mỗi bài báo, chẳng hạn như: tư cách thành viên nhóm tín dụng, có người quen ở các tổ chức tài chính, làm việc như viên chức chính phủ, v.v.</w:t>
      </w:r>
    </w:p>
    <w:p w14:paraId="58B83BF4" w14:textId="5A2ED5EA" w:rsidR="002458CC" w:rsidRPr="00440785" w:rsidRDefault="00A93F1B" w:rsidP="003F327A">
      <w:pPr>
        <w:spacing w:line="480" w:lineRule="auto"/>
        <w:ind w:firstLine="567"/>
        <w:jc w:val="both"/>
        <w:rPr>
          <w:sz w:val="26"/>
          <w:szCs w:val="26"/>
        </w:rPr>
      </w:pPr>
      <w:r w:rsidRPr="00440785">
        <w:rPr>
          <w:sz w:val="26"/>
          <w:szCs w:val="26"/>
        </w:rPr>
        <w:t>Trong nghiên cứu của Hananu, Abdul-Hanan, &amp; Zakaria (2015), c</w:t>
      </w:r>
      <w:r w:rsidR="002458CC" w:rsidRPr="00440785">
        <w:rPr>
          <w:sz w:val="26"/>
          <w:szCs w:val="26"/>
        </w:rPr>
        <w:t>ó bảy biến có ý nghĩa thống kê</w:t>
      </w:r>
      <w:r w:rsidRPr="00440785">
        <w:rPr>
          <w:sz w:val="26"/>
          <w:szCs w:val="26"/>
        </w:rPr>
        <w:t xml:space="preserve"> tác động tới khả năng tiếp cận tín dụng của hộ gia đình</w:t>
      </w:r>
      <w:r w:rsidR="002458CC" w:rsidRPr="00440785">
        <w:rPr>
          <w:sz w:val="26"/>
          <w:szCs w:val="26"/>
        </w:rPr>
        <w:t>: tuổi, giới tính, trình độ học vấn, quy mô hộ gia đình, thu nhập hàng năm, thành viên nhóm, vay từ các nguồn không chính thứ</w:t>
      </w:r>
      <w:r w:rsidRPr="00440785">
        <w:rPr>
          <w:sz w:val="26"/>
          <w:szCs w:val="26"/>
        </w:rPr>
        <w:t>c</w:t>
      </w:r>
      <w:r w:rsidR="002458CC" w:rsidRPr="00440785">
        <w:rPr>
          <w:sz w:val="26"/>
          <w:szCs w:val="26"/>
        </w:rPr>
        <w:t>. Độ tuổi của chủ hộ được quan sát thấy có mối quan hệ tích cực với khả năng tiếp cận tín dụng chính thức của hộ gia đình. Độ tuổi củ</w:t>
      </w:r>
      <w:r w:rsidRPr="00440785">
        <w:rPr>
          <w:sz w:val="26"/>
          <w:szCs w:val="26"/>
        </w:rPr>
        <w:t xml:space="preserve">a nông dân </w:t>
      </w:r>
      <w:r w:rsidR="002458CC" w:rsidRPr="00440785">
        <w:rPr>
          <w:sz w:val="26"/>
          <w:szCs w:val="26"/>
        </w:rPr>
        <w:t>phản ánh kinh nghiệm làm nông của họ</w:t>
      </w:r>
      <w:r w:rsidRPr="00440785">
        <w:rPr>
          <w:sz w:val="26"/>
          <w:szCs w:val="26"/>
        </w:rPr>
        <w:t>, đảm bảo cho việc sử dụng vốn có hiệu quả và rủi ro thấp</w:t>
      </w:r>
      <w:r w:rsidR="002458CC" w:rsidRPr="00440785">
        <w:rPr>
          <w:sz w:val="26"/>
          <w:szCs w:val="26"/>
        </w:rPr>
        <w:t>. Nhu cầu tín dụng ít hơn cho sản xuất nông nghiệp của những người trẻ tuổi có thể là do nhiều cơ hội tìm kiếm việc làm phi nông nghiệ</w:t>
      </w:r>
      <w:r w:rsidRPr="00440785">
        <w:rPr>
          <w:sz w:val="26"/>
          <w:szCs w:val="26"/>
        </w:rPr>
        <w:t>p. Tác động dương của</w:t>
      </w:r>
      <w:r w:rsidR="002458CC" w:rsidRPr="00440785">
        <w:rPr>
          <w:sz w:val="26"/>
          <w:szCs w:val="26"/>
        </w:rPr>
        <w:t xml:space="preserve"> biến độ tuổi cũng được xác nhận trong bài báo củ</w:t>
      </w:r>
      <w:r w:rsidRPr="00440785">
        <w:rPr>
          <w:sz w:val="26"/>
          <w:szCs w:val="26"/>
        </w:rPr>
        <w:t>a Gray (2006); Yehuala (2008)</w:t>
      </w:r>
      <w:r w:rsidR="002458CC" w:rsidRPr="00440785">
        <w:rPr>
          <w:sz w:val="26"/>
          <w:szCs w:val="26"/>
        </w:rPr>
        <w:t>. Độ tuổi được sử dụng làm đại diện cho sự trưởng thành, kinh nghiệm làm nông trong khi trình độ học vấn phản ánh kiến ​​thức kỹ thuật tốt hơn, kỹ năng làm nông và khả năng tiếp cận nhiều thông tin hơn trên thị trường tín dụng (Akudugu, 2012; Kosgey, 2013)</w:t>
      </w:r>
    </w:p>
    <w:p w14:paraId="42348456" w14:textId="4FACEDC1" w:rsidR="00D378E3" w:rsidRPr="00440785" w:rsidRDefault="002A78DA" w:rsidP="003F327A">
      <w:pPr>
        <w:spacing w:line="480" w:lineRule="auto"/>
        <w:ind w:firstLine="567"/>
        <w:jc w:val="both"/>
        <w:rPr>
          <w:sz w:val="26"/>
          <w:szCs w:val="26"/>
        </w:rPr>
      </w:pPr>
      <w:r w:rsidRPr="00440785">
        <w:rPr>
          <w:sz w:val="26"/>
          <w:szCs w:val="26"/>
        </w:rPr>
        <w:lastRenderedPageBreak/>
        <w:t>Đối với biến giới tính, có những nghiên cứu chỉ ra</w:t>
      </w:r>
      <w:r w:rsidR="00D378E3" w:rsidRPr="00440785">
        <w:rPr>
          <w:sz w:val="26"/>
          <w:szCs w:val="26"/>
        </w:rPr>
        <w:t xml:space="preserve"> rằng nông dân nam có nhiều cơ hội tiếp cận tín dụng nông thôn hơn so với phụ nữ (Akudugu, 2012; Fletschner, 2009). Người đứng đầu hộ gia đình là nam giớ</w:t>
      </w:r>
      <w:r w:rsidRPr="00440785">
        <w:rPr>
          <w:sz w:val="26"/>
          <w:szCs w:val="26"/>
        </w:rPr>
        <w:t>i có nhu cầu về</w:t>
      </w:r>
      <w:r w:rsidR="00D378E3" w:rsidRPr="00440785">
        <w:rPr>
          <w:sz w:val="26"/>
          <w:szCs w:val="26"/>
        </w:rPr>
        <w:t xml:space="preserve"> tín dụng hơn so với phụ nữ, điều này cũng tương tự trong</w:t>
      </w:r>
      <w:r w:rsidRPr="00440785">
        <w:rPr>
          <w:sz w:val="26"/>
          <w:szCs w:val="26"/>
        </w:rPr>
        <w:t xml:space="preserve"> nghiên cứu của Kosgey, 2013</w:t>
      </w:r>
      <w:r w:rsidR="00D378E3" w:rsidRPr="00440785">
        <w:rPr>
          <w:sz w:val="26"/>
          <w:szCs w:val="26"/>
        </w:rPr>
        <w:t>. Trong nghiên cứu củ</w:t>
      </w:r>
      <w:r w:rsidRPr="00440785">
        <w:rPr>
          <w:sz w:val="26"/>
          <w:szCs w:val="26"/>
        </w:rPr>
        <w:t xml:space="preserve">a </w:t>
      </w:r>
      <w:r w:rsidR="00D378E3" w:rsidRPr="00440785">
        <w:rPr>
          <w:sz w:val="26"/>
          <w:szCs w:val="26"/>
        </w:rPr>
        <w:t>Oku</w:t>
      </w:r>
      <w:r w:rsidRPr="00440785">
        <w:rPr>
          <w:sz w:val="26"/>
          <w:szCs w:val="26"/>
        </w:rPr>
        <w:t>rut, Schoombee, &amp; Van der Berg (</w:t>
      </w:r>
      <w:r w:rsidR="00D378E3" w:rsidRPr="00440785">
        <w:rPr>
          <w:sz w:val="26"/>
          <w:szCs w:val="26"/>
        </w:rPr>
        <w:t>2005), nam giới cũng có nhu cầu tín dụng phi chính thức nhiều hơn phụ nữ.</w:t>
      </w:r>
    </w:p>
    <w:p w14:paraId="73C5A6BD" w14:textId="3F5F6956" w:rsidR="00D378E3" w:rsidRPr="00440785" w:rsidRDefault="00D378E3" w:rsidP="003F327A">
      <w:pPr>
        <w:spacing w:line="480" w:lineRule="auto"/>
        <w:ind w:firstLine="567"/>
        <w:jc w:val="both"/>
        <w:rPr>
          <w:sz w:val="26"/>
          <w:szCs w:val="26"/>
        </w:rPr>
      </w:pPr>
      <w:r w:rsidRPr="00440785">
        <w:rPr>
          <w:sz w:val="26"/>
          <w:szCs w:val="26"/>
        </w:rPr>
        <w:t>Biến số</w:t>
      </w:r>
      <w:r w:rsidR="002A78DA" w:rsidRPr="00440785">
        <w:rPr>
          <w:sz w:val="26"/>
          <w:szCs w:val="26"/>
        </w:rPr>
        <w:t xml:space="preserve"> </w:t>
      </w:r>
      <w:r w:rsidRPr="00440785">
        <w:rPr>
          <w:sz w:val="26"/>
          <w:szCs w:val="26"/>
        </w:rPr>
        <w:t>'giáo dục' trong bài báo của Hananu</w:t>
      </w:r>
      <w:r w:rsidR="002A78DA" w:rsidRPr="00440785">
        <w:rPr>
          <w:sz w:val="26"/>
          <w:szCs w:val="26"/>
        </w:rPr>
        <w:t xml:space="preserve"> (2015)</w:t>
      </w:r>
      <w:r w:rsidRPr="00440785">
        <w:rPr>
          <w:sz w:val="26"/>
          <w:szCs w:val="26"/>
        </w:rPr>
        <w:t xml:space="preserve"> ngụ ý rằng những người nông dân có trình độ học vấn cao hơn có</w:t>
      </w:r>
      <w:r w:rsidR="002A78DA" w:rsidRPr="00440785">
        <w:rPr>
          <w:sz w:val="26"/>
          <w:szCs w:val="26"/>
        </w:rPr>
        <w:t xml:space="preserve"> nhiều</w:t>
      </w:r>
      <w:r w:rsidRPr="00440785">
        <w:rPr>
          <w:sz w:val="26"/>
          <w:szCs w:val="26"/>
        </w:rPr>
        <w:t xml:space="preserve"> khả năng tiếp cận tín dụng chính thứ</w:t>
      </w:r>
      <w:r w:rsidR="002A78DA" w:rsidRPr="00440785">
        <w:rPr>
          <w:sz w:val="26"/>
          <w:szCs w:val="26"/>
        </w:rPr>
        <w:t>c</w:t>
      </w:r>
      <w:r w:rsidRPr="00440785">
        <w:rPr>
          <w:sz w:val="26"/>
          <w:szCs w:val="26"/>
        </w:rPr>
        <w:t xml:space="preserve">. </w:t>
      </w:r>
      <w:r w:rsidR="002A78DA" w:rsidRPr="00440785">
        <w:rPr>
          <w:sz w:val="26"/>
          <w:szCs w:val="26"/>
        </w:rPr>
        <w:t>Họ có k</w:t>
      </w:r>
      <w:r w:rsidRPr="00440785">
        <w:rPr>
          <w:sz w:val="26"/>
          <w:szCs w:val="26"/>
        </w:rPr>
        <w:t>iến thức và thông tin tốt hơn về thị trường tín dụng, đặc biệt là thị trường chính thứ</w:t>
      </w:r>
      <w:r w:rsidR="002A78DA" w:rsidRPr="00440785">
        <w:rPr>
          <w:sz w:val="26"/>
          <w:szCs w:val="26"/>
        </w:rPr>
        <w:t>c, điều này làm tăng</w:t>
      </w:r>
      <w:r w:rsidRPr="00440785">
        <w:rPr>
          <w:sz w:val="26"/>
          <w:szCs w:val="26"/>
        </w:rPr>
        <w:t xml:space="preserve"> tính khả</w:t>
      </w:r>
      <w:r w:rsidR="002A78DA" w:rsidRPr="00440785">
        <w:rPr>
          <w:sz w:val="26"/>
          <w:szCs w:val="26"/>
        </w:rPr>
        <w:t xml:space="preserve"> thi </w:t>
      </w:r>
      <w:r w:rsidRPr="00440785">
        <w:rPr>
          <w:sz w:val="26"/>
          <w:szCs w:val="26"/>
        </w:rPr>
        <w:t>của các dự án nông nghiệp và khả năng trả nợ đúng hạn cao</w:t>
      </w:r>
      <w:r w:rsidR="002A78DA" w:rsidRPr="00440785">
        <w:rPr>
          <w:sz w:val="26"/>
          <w:szCs w:val="26"/>
        </w:rPr>
        <w:t xml:space="preserve"> hơn</w:t>
      </w:r>
      <w:r w:rsidRPr="00440785">
        <w:rPr>
          <w:sz w:val="26"/>
          <w:szCs w:val="26"/>
        </w:rPr>
        <w:t xml:space="preserve"> hoặc chỉ đơn giản cho thấy khả năng hiểu các thủ tục của ngân hàng và hoàn thành chính xác các biểu mẫu đăng ký vay của họ. Tác động tích cực của trình độ học vấn đối với việc gia nhập thị trường chính thức cũng đượ</w:t>
      </w:r>
      <w:r w:rsidR="002A78DA" w:rsidRPr="00440785">
        <w:rPr>
          <w:sz w:val="26"/>
          <w:szCs w:val="26"/>
        </w:rPr>
        <w:t>c đề cập trong nghiên cứu của Kosgey (</w:t>
      </w:r>
      <w:r w:rsidRPr="00440785">
        <w:rPr>
          <w:sz w:val="26"/>
          <w:szCs w:val="26"/>
        </w:rPr>
        <w:t>2013</w:t>
      </w:r>
      <w:r w:rsidR="002A78DA" w:rsidRPr="00440785">
        <w:rPr>
          <w:sz w:val="26"/>
          <w:szCs w:val="26"/>
        </w:rPr>
        <w:t>); Odhiambo &amp; Upadhyaya (2020)</w:t>
      </w:r>
      <w:r w:rsidRPr="00440785">
        <w:rPr>
          <w:sz w:val="26"/>
          <w:szCs w:val="26"/>
        </w:rPr>
        <w:t>. Kết quả tương tự cũng được tìm thấy trong nghiên cứu của một số tác giả</w:t>
      </w:r>
      <w:r w:rsidR="002A78DA" w:rsidRPr="00440785">
        <w:rPr>
          <w:sz w:val="26"/>
          <w:szCs w:val="26"/>
        </w:rPr>
        <w:t xml:space="preserve"> Việt Nam và Trung Quốc</w:t>
      </w:r>
      <w:r w:rsidRPr="00440785">
        <w:rPr>
          <w:sz w:val="26"/>
          <w:szCs w:val="26"/>
        </w:rPr>
        <w:t xml:space="preserve"> (Khoi, Gan, Nartea &amp; Cohen, 2013; Li, Gan &amp; Hu, 2011).</w:t>
      </w:r>
    </w:p>
    <w:p w14:paraId="4637813D" w14:textId="04E5333E" w:rsidR="00D378E3" w:rsidRPr="00440785" w:rsidRDefault="00D378E3" w:rsidP="003F327A">
      <w:pPr>
        <w:spacing w:line="480" w:lineRule="auto"/>
        <w:ind w:firstLine="567"/>
        <w:jc w:val="both"/>
        <w:rPr>
          <w:sz w:val="26"/>
          <w:szCs w:val="26"/>
        </w:rPr>
      </w:pPr>
      <w:r w:rsidRPr="00440785">
        <w:rPr>
          <w:sz w:val="26"/>
          <w:szCs w:val="26"/>
        </w:rPr>
        <w:t>Hệ số âm của biến 'quy mô gia đình' trong chức năng tiếp cận tín dụng là do các gia đình lớn hơn có nhu cầu tín dụng thấp hơn so với các gia đình nhỏ hơn trong nghiên cứu của Hananu et al (2015) và Kosgey (2013). Người ta giải thích rằng các hộ gia đình nhỏ thường bị hạn chế về lao động và đầu vào, vì vậy họ có nhu cầu</w:t>
      </w:r>
      <w:r w:rsidR="002A78DA" w:rsidRPr="00440785">
        <w:rPr>
          <w:sz w:val="26"/>
          <w:szCs w:val="26"/>
        </w:rPr>
        <w:t xml:space="preserve"> về</w:t>
      </w:r>
      <w:r w:rsidRPr="00440785">
        <w:rPr>
          <w:sz w:val="26"/>
          <w:szCs w:val="26"/>
        </w:rPr>
        <w:t xml:space="preserve"> tín dụng cao hơn. Kết quả này trái ngược với kết quả của Akudugu (2012). Mối quan hệ tiêu cực giữa quy mô gia đình và khả năng tiếp cận tín dụng vi mô cũng được xác nhận trong bài báo của Li và cộng sự (2011). Li và cộng sự</w:t>
      </w:r>
      <w:r w:rsidR="002A78DA" w:rsidRPr="00440785">
        <w:rPr>
          <w:sz w:val="26"/>
          <w:szCs w:val="26"/>
        </w:rPr>
        <w:t xml:space="preserve"> (2011)</w:t>
      </w:r>
      <w:r w:rsidRPr="00440785">
        <w:rPr>
          <w:sz w:val="26"/>
          <w:szCs w:val="26"/>
        </w:rPr>
        <w:t xml:space="preserve"> đưa ra lý do về khả năng trả nợ thấp của các gia đình lớn hơn là do thu nhập bình quân đầu người dự kiến ​​</w:t>
      </w:r>
      <w:r w:rsidRPr="00440785">
        <w:rPr>
          <w:sz w:val="26"/>
          <w:szCs w:val="26"/>
        </w:rPr>
        <w:lastRenderedPageBreak/>
        <w:t>thấp hơn. Kết quả này trái ngược với kết quả củ</w:t>
      </w:r>
      <w:r w:rsidR="002A78DA" w:rsidRPr="00440785">
        <w:rPr>
          <w:sz w:val="26"/>
          <w:szCs w:val="26"/>
        </w:rPr>
        <w:t>a Ho (</w:t>
      </w:r>
      <w:r w:rsidRPr="00440785">
        <w:rPr>
          <w:sz w:val="26"/>
          <w:szCs w:val="26"/>
        </w:rPr>
        <w:t xml:space="preserve"> 2004</w:t>
      </w:r>
      <w:r w:rsidR="002A78DA" w:rsidRPr="00440785">
        <w:rPr>
          <w:sz w:val="26"/>
          <w:szCs w:val="26"/>
        </w:rPr>
        <w:t>); Vaessen (</w:t>
      </w:r>
      <w:r w:rsidRPr="00440785">
        <w:rPr>
          <w:sz w:val="26"/>
          <w:szCs w:val="26"/>
        </w:rPr>
        <w:t>2001). Vaessen (2001) đưa ra kết quả là các gia đình lớn hơn có khả năng tiếp cận các ngân hàng nông thôn chính thức cao hơn do có sẵn lao động và khả năng kiếm tiền cao. Ngoài quy mô gia đình, số lượng thành viên gia đình phụ thuộc cũng được đề cập trong nghiên cứu củ</w:t>
      </w:r>
      <w:r w:rsidR="002A78DA" w:rsidRPr="00440785">
        <w:rPr>
          <w:sz w:val="26"/>
          <w:szCs w:val="26"/>
        </w:rPr>
        <w:t>a Pranata (2019)</w:t>
      </w:r>
      <w:r w:rsidRPr="00440785">
        <w:rPr>
          <w:sz w:val="26"/>
          <w:szCs w:val="26"/>
        </w:rPr>
        <w:t>. Quy mô hộ gia đình và số lượng người phụ thuộc hoặc tỷ lệ phụ thuộc của gia đình có khả năng liên quan chặt chẽ với nhau. Quy mô hộ gia đình lớn hơn có thể được coi là lý do khiến thu nhập hộ gia đình tăng lên nhưng quy mô hộ gia đình tăng lên cùng với số người phụ thuộc tăng lên dẫn đến gánh nặng tài chính lớn hơn, có thể làm tăng chi phí hoặc tiêu dùng và khả năng trở</w:t>
      </w:r>
      <w:r w:rsidR="002A78DA" w:rsidRPr="00440785">
        <w:rPr>
          <w:sz w:val="26"/>
          <w:szCs w:val="26"/>
        </w:rPr>
        <w:t xml:space="preserve"> nên nghèo đói.  Mặt khác, c</w:t>
      </w:r>
      <w:r w:rsidRPr="00440785">
        <w:rPr>
          <w:sz w:val="26"/>
          <w:szCs w:val="26"/>
        </w:rPr>
        <w:t>ác gia đình có nhiều người phụ thuộc hơn có khả năng đạt được tín dụng ngân hàng cao hơn vì họ cần nhiều tiền hơn cho nhu cầu thiết yếu và để mở rộng sản xuấ</w:t>
      </w:r>
      <w:r w:rsidR="002A78DA" w:rsidRPr="00440785">
        <w:rPr>
          <w:sz w:val="26"/>
          <w:szCs w:val="26"/>
        </w:rPr>
        <w:t>t (</w:t>
      </w:r>
      <w:r w:rsidRPr="00440785">
        <w:rPr>
          <w:sz w:val="26"/>
          <w:szCs w:val="26"/>
        </w:rPr>
        <w:t>Si</w:t>
      </w:r>
      <w:r w:rsidR="002A78DA" w:rsidRPr="00440785">
        <w:rPr>
          <w:sz w:val="26"/>
          <w:szCs w:val="26"/>
        </w:rPr>
        <w:t xml:space="preserve">mtowe, Zeller, &amp; Phiri, 2006; </w:t>
      </w:r>
      <w:r w:rsidRPr="00440785">
        <w:rPr>
          <w:sz w:val="26"/>
          <w:szCs w:val="26"/>
        </w:rPr>
        <w:t>Shah, Bukhari, Hashmi, Anwer, &amp; Anwar, 2008).</w:t>
      </w:r>
    </w:p>
    <w:p w14:paraId="10E4B0DC" w14:textId="1B308F29" w:rsidR="00D378E3" w:rsidRPr="00440785" w:rsidRDefault="00D378E3" w:rsidP="003F327A">
      <w:pPr>
        <w:spacing w:line="480" w:lineRule="auto"/>
        <w:ind w:firstLine="567"/>
        <w:jc w:val="both"/>
        <w:rPr>
          <w:sz w:val="26"/>
          <w:szCs w:val="26"/>
        </w:rPr>
      </w:pPr>
      <w:r w:rsidRPr="00440785">
        <w:rPr>
          <w:sz w:val="26"/>
          <w:szCs w:val="26"/>
        </w:rPr>
        <w:t>Thu nhập hàng năm đượ</w:t>
      </w:r>
      <w:r w:rsidR="00E0425B" w:rsidRPr="00440785">
        <w:rPr>
          <w:sz w:val="26"/>
          <w:szCs w:val="26"/>
        </w:rPr>
        <w:t>c chỉ ra là có tác động ngược chiều</w:t>
      </w:r>
      <w:r w:rsidRPr="00440785">
        <w:rPr>
          <w:sz w:val="26"/>
          <w:szCs w:val="26"/>
        </w:rPr>
        <w:t xml:space="preserve"> đối với khả năng tiếp cận tín dụng, có nghĩa là các gia đình có thu nhập thấp có nhu cầu tín dụng nhiều hơn nhữ</w:t>
      </w:r>
      <w:r w:rsidR="00E0425B" w:rsidRPr="00440785">
        <w:rPr>
          <w:sz w:val="26"/>
          <w:szCs w:val="26"/>
        </w:rPr>
        <w:t xml:space="preserve">ng gia đình khác </w:t>
      </w:r>
      <w:r w:rsidRPr="00440785">
        <w:rPr>
          <w:sz w:val="26"/>
          <w:szCs w:val="26"/>
        </w:rPr>
        <w:t>(Hananu và cộng sự</w:t>
      </w:r>
      <w:r w:rsidR="00E0425B" w:rsidRPr="00440785">
        <w:rPr>
          <w:sz w:val="26"/>
          <w:szCs w:val="26"/>
        </w:rPr>
        <w:t>, 2015). Kết quả trên cũng được phát hiện bởi nhóm tác giả Khoi, Gan, Nartea và Cohen (</w:t>
      </w:r>
      <w:r w:rsidRPr="00440785">
        <w:rPr>
          <w:sz w:val="26"/>
          <w:szCs w:val="26"/>
        </w:rPr>
        <w:t xml:space="preserve">2013). </w:t>
      </w:r>
      <w:r w:rsidR="00E0425B" w:rsidRPr="00440785">
        <w:rPr>
          <w:sz w:val="26"/>
          <w:szCs w:val="26"/>
        </w:rPr>
        <w:t>T</w:t>
      </w:r>
      <w:r w:rsidRPr="00440785">
        <w:rPr>
          <w:sz w:val="26"/>
          <w:szCs w:val="26"/>
        </w:rPr>
        <w:t>kiệm và thu nhập có thể được coi là đại diệ</w:t>
      </w:r>
      <w:r w:rsidR="00E0425B" w:rsidRPr="00440785">
        <w:rPr>
          <w:sz w:val="26"/>
          <w:szCs w:val="26"/>
        </w:rPr>
        <w:t xml:space="preserve">n cho khả năng tài chính </w:t>
      </w:r>
      <w:r w:rsidRPr="00440785">
        <w:rPr>
          <w:sz w:val="26"/>
          <w:szCs w:val="26"/>
        </w:rPr>
        <w:t xml:space="preserve">của gia đình, vì vậy các hộ gia đình có khoản tiết kiệm lớn hoặc mức thu nhập cao thường có nhu cầu tín dụng phi chính thức ít hơn. </w:t>
      </w:r>
      <w:r w:rsidR="00E0425B" w:rsidRPr="00440785">
        <w:rPr>
          <w:sz w:val="26"/>
          <w:szCs w:val="26"/>
        </w:rPr>
        <w:t>Trong đó nghiên cứu của Li và cộng sự (2011) lại đưa ra kết quả trái ngược.</w:t>
      </w:r>
    </w:p>
    <w:p w14:paraId="306190FC" w14:textId="40E001B7" w:rsidR="00D378E3" w:rsidRPr="00440785" w:rsidRDefault="00D378E3" w:rsidP="003F327A">
      <w:pPr>
        <w:spacing w:line="480" w:lineRule="auto"/>
        <w:ind w:firstLine="567"/>
        <w:jc w:val="both"/>
        <w:rPr>
          <w:sz w:val="26"/>
          <w:szCs w:val="26"/>
        </w:rPr>
      </w:pPr>
      <w:r w:rsidRPr="00440785">
        <w:rPr>
          <w:sz w:val="26"/>
          <w:szCs w:val="26"/>
        </w:rPr>
        <w:t>Liên quan đến các yếu tố sản xuất hoặc lợi nhuận, Pranata (2019) đã sử dụng biến 'tỷ lệ thu nhập trên chi phí'. Nó có thể phản ánh mức độ khả năng trả nợ của hộ</w:t>
      </w:r>
      <w:r w:rsidR="00F0243F" w:rsidRPr="00440785">
        <w:rPr>
          <w:sz w:val="26"/>
          <w:szCs w:val="26"/>
        </w:rPr>
        <w:t xml:space="preserve"> gia đình</w:t>
      </w:r>
      <w:r w:rsidRPr="00440785">
        <w:rPr>
          <w:sz w:val="26"/>
          <w:szCs w:val="26"/>
        </w:rPr>
        <w:t xml:space="preserve">. Số tiền </w:t>
      </w:r>
      <w:r w:rsidR="00F0243F" w:rsidRPr="00440785">
        <w:rPr>
          <w:sz w:val="26"/>
          <w:szCs w:val="26"/>
        </w:rPr>
        <w:t xml:space="preserve">vay </w:t>
      </w:r>
      <w:r w:rsidRPr="00440785">
        <w:rPr>
          <w:sz w:val="26"/>
          <w:szCs w:val="26"/>
        </w:rPr>
        <w:t>chính thức và số tiền</w:t>
      </w:r>
      <w:r w:rsidR="00F0243F" w:rsidRPr="00440785">
        <w:rPr>
          <w:sz w:val="26"/>
          <w:szCs w:val="26"/>
        </w:rPr>
        <w:t xml:space="preserve"> vay</w:t>
      </w:r>
      <w:r w:rsidRPr="00440785">
        <w:rPr>
          <w:sz w:val="26"/>
          <w:szCs w:val="26"/>
        </w:rPr>
        <w:t xml:space="preserve"> không chính thứ</w:t>
      </w:r>
      <w:r w:rsidR="00F0243F" w:rsidRPr="00440785">
        <w:rPr>
          <w:sz w:val="26"/>
          <w:szCs w:val="26"/>
        </w:rPr>
        <w:t xml:space="preserve">c được quyết định bởi </w:t>
      </w:r>
      <w:r w:rsidRPr="00440785">
        <w:rPr>
          <w:sz w:val="26"/>
          <w:szCs w:val="26"/>
        </w:rPr>
        <w:lastRenderedPageBreak/>
        <w:t>tổng diện tích canh tác, tổng giá trị sản xuất vậ</w:t>
      </w:r>
      <w:r w:rsidR="00F0243F" w:rsidRPr="00440785">
        <w:rPr>
          <w:sz w:val="26"/>
          <w:szCs w:val="26"/>
        </w:rPr>
        <w:t xml:space="preserve">t nuôi trong nghiên cứu của </w:t>
      </w:r>
      <w:r w:rsidRPr="00440785">
        <w:rPr>
          <w:sz w:val="26"/>
          <w:szCs w:val="26"/>
        </w:rPr>
        <w:t>Bao</w:t>
      </w:r>
      <w:r w:rsidR="00F0243F" w:rsidRPr="00440785">
        <w:rPr>
          <w:sz w:val="26"/>
          <w:szCs w:val="26"/>
        </w:rPr>
        <w:t xml:space="preserve"> Duong &amp; Izumida (</w:t>
      </w:r>
      <w:r w:rsidRPr="00440785">
        <w:rPr>
          <w:sz w:val="26"/>
          <w:szCs w:val="26"/>
        </w:rPr>
        <w:t>2002).</w:t>
      </w:r>
    </w:p>
    <w:p w14:paraId="3D4295D1" w14:textId="0B569C86" w:rsidR="00027077" w:rsidRPr="00440785" w:rsidRDefault="00027077" w:rsidP="003F327A">
      <w:pPr>
        <w:spacing w:line="480" w:lineRule="auto"/>
        <w:jc w:val="both"/>
        <w:rPr>
          <w:b/>
          <w:i/>
          <w:sz w:val="26"/>
          <w:szCs w:val="26"/>
        </w:rPr>
      </w:pPr>
      <w:r w:rsidRPr="00440785">
        <w:rPr>
          <w:b/>
          <w:i/>
          <w:sz w:val="26"/>
          <w:szCs w:val="26"/>
        </w:rPr>
        <w:t>2.</w:t>
      </w:r>
      <w:r w:rsidR="00FB605E" w:rsidRPr="00440785">
        <w:rPr>
          <w:b/>
          <w:i/>
          <w:sz w:val="26"/>
          <w:szCs w:val="26"/>
        </w:rPr>
        <w:t>2. Ảnh hưởng của tiếp cận tín dụng tới thu nhập</w:t>
      </w:r>
      <w:r w:rsidR="00F0243F" w:rsidRPr="00440785">
        <w:rPr>
          <w:b/>
          <w:i/>
          <w:sz w:val="26"/>
          <w:szCs w:val="26"/>
        </w:rPr>
        <w:t xml:space="preserve"> và phúc lợi</w:t>
      </w:r>
      <w:r w:rsidR="00FB605E" w:rsidRPr="00440785">
        <w:rPr>
          <w:b/>
          <w:i/>
          <w:sz w:val="26"/>
          <w:szCs w:val="26"/>
        </w:rPr>
        <w:t xml:space="preserve"> của hộ gia đình</w:t>
      </w:r>
    </w:p>
    <w:p w14:paraId="09D2C0F6" w14:textId="2CDECCDC" w:rsidR="00E55300" w:rsidRPr="00440785" w:rsidRDefault="00F0243F" w:rsidP="003F327A">
      <w:pPr>
        <w:spacing w:line="480" w:lineRule="auto"/>
        <w:ind w:firstLine="567"/>
        <w:jc w:val="both"/>
        <w:rPr>
          <w:sz w:val="26"/>
          <w:szCs w:val="26"/>
        </w:rPr>
      </w:pPr>
      <w:r w:rsidRPr="00440785">
        <w:rPr>
          <w:sz w:val="26"/>
          <w:szCs w:val="26"/>
        </w:rPr>
        <w:t>Phúc lợi hộ gia đình có thể được thể hiện thông qua thu nhập, năng suất động, sản lượng của hộ, chi tiêu của hộ và những tác động khác liên quan tới y tế, giáo dục….Trong nhiều nghiên cứu</w:t>
      </w:r>
      <w:r w:rsidR="00E55300" w:rsidRPr="00440785">
        <w:rPr>
          <w:sz w:val="26"/>
          <w:szCs w:val="26"/>
        </w:rPr>
        <w:t>, tiếp cận tín dụng có tác động kinh tế xã hội lớn đến các hộ gia đình nông thôn, chẳng hạn như tăng sản lượng/sản xuất, nâng cao thu nhập hộ gia đình cũng như xóa đói giả</w:t>
      </w:r>
      <w:r w:rsidRPr="00440785">
        <w:rPr>
          <w:sz w:val="26"/>
          <w:szCs w:val="26"/>
        </w:rPr>
        <w:t>m nghèo.</w:t>
      </w:r>
      <w:r w:rsidR="009427E2" w:rsidRPr="00440785">
        <w:rPr>
          <w:sz w:val="26"/>
          <w:szCs w:val="26"/>
        </w:rPr>
        <w:t xml:space="preserve"> </w:t>
      </w:r>
      <w:r w:rsidR="00E55300" w:rsidRPr="00440785">
        <w:rPr>
          <w:sz w:val="26"/>
          <w:szCs w:val="26"/>
        </w:rPr>
        <w:t>Mối quan hệ giữa năng suất trang trại và tiếp cận tín dụng chính thức giữa các hộ gia đình bị hạn chế tín dụng và không bị hạn chế tín dụng ở Peru được đề cập trong khảo sát của Guirkinger và cộng sự</w:t>
      </w:r>
      <w:r w:rsidRPr="00440785">
        <w:rPr>
          <w:sz w:val="26"/>
          <w:szCs w:val="26"/>
        </w:rPr>
        <w:t xml:space="preserve"> (2008)</w:t>
      </w:r>
      <w:r w:rsidR="00E55300" w:rsidRPr="00440785">
        <w:rPr>
          <w:sz w:val="26"/>
          <w:szCs w:val="26"/>
        </w:rPr>
        <w:t>, trong đó giá trị sản xuất</w:t>
      </w:r>
      <w:r w:rsidRPr="00440785">
        <w:rPr>
          <w:sz w:val="26"/>
          <w:szCs w:val="26"/>
        </w:rPr>
        <w:t xml:space="preserve"> sẽ tăng lên nếu hạn chế tín dụng giảm xuống</w:t>
      </w:r>
      <w:r w:rsidR="00E55300" w:rsidRPr="00440785">
        <w:rPr>
          <w:sz w:val="26"/>
          <w:szCs w:val="26"/>
        </w:rPr>
        <w:t>. Kết quả</w:t>
      </w:r>
      <w:r w:rsidRPr="00440785">
        <w:rPr>
          <w:sz w:val="26"/>
          <w:szCs w:val="26"/>
        </w:rPr>
        <w:t xml:space="preserve"> này tương tự với </w:t>
      </w:r>
      <w:r w:rsidR="00E55300" w:rsidRPr="00440785">
        <w:rPr>
          <w:sz w:val="26"/>
          <w:szCs w:val="26"/>
        </w:rPr>
        <w:t>nghiên cứu ở Trung Quốc (</w:t>
      </w:r>
      <w:r w:rsidRPr="00440785">
        <w:rPr>
          <w:sz w:val="26"/>
          <w:szCs w:val="26"/>
        </w:rPr>
        <w:t>Dong, Lu, &amp; Featherstone, 2010).</w:t>
      </w:r>
      <w:r w:rsidR="009427E2" w:rsidRPr="00440785">
        <w:rPr>
          <w:sz w:val="26"/>
          <w:szCs w:val="26"/>
        </w:rPr>
        <w:t xml:space="preserve"> </w:t>
      </w:r>
      <w:r w:rsidR="00E55300" w:rsidRPr="00440785">
        <w:rPr>
          <w:sz w:val="26"/>
          <w:szCs w:val="26"/>
        </w:rPr>
        <w:t>Tác động của tín dụng chính thức cũng được nhấn mạnh là có mối tương quan tích cực với thu nhập gia đình, mở rộng các hoạt động sinh kế của họ, cải thiện mức sống và điều kiện phúc lợ</w:t>
      </w:r>
      <w:r w:rsidR="000E3037" w:rsidRPr="00440785">
        <w:rPr>
          <w:sz w:val="26"/>
          <w:szCs w:val="26"/>
        </w:rPr>
        <w:t>i (Das, 2018). Trong nghiên cứu này</w:t>
      </w:r>
      <w:r w:rsidR="00E55300" w:rsidRPr="00440785">
        <w:rPr>
          <w:sz w:val="26"/>
          <w:szCs w:val="26"/>
        </w:rPr>
        <w:t>, cả tác động tín dụng chính thức, bán chính thức và không chính thức đều được xem xét, tuy nhiên chỉ có tiếp cận tín dụng chính thức mới có tác động đáng kể đến thu nhập hộ</w:t>
      </w:r>
      <w:r w:rsidR="000E3037" w:rsidRPr="00440785">
        <w:rPr>
          <w:sz w:val="26"/>
          <w:szCs w:val="26"/>
        </w:rPr>
        <w:t xml:space="preserve"> gia đình</w:t>
      </w:r>
      <w:r w:rsidR="00E55300" w:rsidRPr="00440785">
        <w:rPr>
          <w:sz w:val="26"/>
          <w:szCs w:val="26"/>
        </w:rPr>
        <w:t>. Trong nghiên cứu khác ở một số nước đang phát triển như Pakistan, việc sử dụng tín dụng có thể dẫn đến tăng trưởng sản lượng và thu nhập ở các vùng nông thôn, sau đó cải thiện phúc lợi của nông dân (Bashir, Mehmood, &amp;</w:t>
      </w:r>
      <w:r w:rsidR="000E3037" w:rsidRPr="00440785">
        <w:rPr>
          <w:sz w:val="26"/>
          <w:szCs w:val="26"/>
        </w:rPr>
        <w:t xml:space="preserve"> Hassan, 2010; Olagunju, 2007).</w:t>
      </w:r>
    </w:p>
    <w:p w14:paraId="7A4EB9F6" w14:textId="7A65D149" w:rsidR="00E55300" w:rsidRPr="00440785" w:rsidRDefault="00E55300" w:rsidP="003F327A">
      <w:pPr>
        <w:spacing w:line="480" w:lineRule="auto"/>
        <w:ind w:firstLine="567"/>
        <w:jc w:val="both"/>
        <w:rPr>
          <w:sz w:val="26"/>
          <w:szCs w:val="26"/>
        </w:rPr>
      </w:pPr>
      <w:r w:rsidRPr="00440785">
        <w:rPr>
          <w:sz w:val="26"/>
          <w:szCs w:val="26"/>
        </w:rPr>
        <w:t>Trong khi nhiều tác giả đề cập đến mối quan hệ trực tiếp và tích cực đáng kể giữa cơ sở tín dụng và thu nhập và sản lượng của hộ gia đình, nhữ</w:t>
      </w:r>
      <w:r w:rsidR="000E3037" w:rsidRPr="00440785">
        <w:rPr>
          <w:sz w:val="26"/>
          <w:szCs w:val="26"/>
        </w:rPr>
        <w:t>ng nhà nghiên cứu</w:t>
      </w:r>
      <w:r w:rsidRPr="00440785">
        <w:rPr>
          <w:sz w:val="26"/>
          <w:szCs w:val="26"/>
        </w:rPr>
        <w:t xml:space="preserve"> khác lạ</w:t>
      </w:r>
      <w:r w:rsidR="000E3037" w:rsidRPr="00440785">
        <w:rPr>
          <w:sz w:val="26"/>
          <w:szCs w:val="26"/>
        </w:rPr>
        <w:t>i chỉ</w:t>
      </w:r>
      <w:r w:rsidRPr="00440785">
        <w:rPr>
          <w:sz w:val="26"/>
          <w:szCs w:val="26"/>
        </w:rPr>
        <w:t xml:space="preserve"> ra những kết quả khác nhau, tức là mối quan hệ không đáng kể hoặc gián tiế</w:t>
      </w:r>
      <w:r w:rsidR="000E3037" w:rsidRPr="00440785">
        <w:rPr>
          <w:sz w:val="26"/>
          <w:szCs w:val="26"/>
        </w:rPr>
        <w:t xml:space="preserve">p </w:t>
      </w:r>
      <w:r w:rsidRPr="00440785">
        <w:rPr>
          <w:sz w:val="26"/>
          <w:szCs w:val="26"/>
        </w:rPr>
        <w:t>(Bao Duong &amp; Izumida, 2002)</w:t>
      </w:r>
      <w:r w:rsidR="000E3037" w:rsidRPr="00440785">
        <w:rPr>
          <w:sz w:val="26"/>
          <w:szCs w:val="26"/>
        </w:rPr>
        <w:t>. S</w:t>
      </w:r>
      <w:r w:rsidRPr="00440785">
        <w:rPr>
          <w:sz w:val="26"/>
          <w:szCs w:val="26"/>
        </w:rPr>
        <w:t>ố tiề</w:t>
      </w:r>
      <w:r w:rsidR="000E3037" w:rsidRPr="00440785">
        <w:rPr>
          <w:sz w:val="26"/>
          <w:szCs w:val="26"/>
        </w:rPr>
        <w:t>n vay</w:t>
      </w:r>
      <w:r w:rsidRPr="00440785">
        <w:rPr>
          <w:sz w:val="26"/>
          <w:szCs w:val="26"/>
        </w:rPr>
        <w:t xml:space="preserve"> được phát hiện là không đáng kể ảnh </w:t>
      </w:r>
      <w:r w:rsidRPr="00440785">
        <w:rPr>
          <w:sz w:val="26"/>
          <w:szCs w:val="26"/>
        </w:rPr>
        <w:lastRenderedPageBreak/>
        <w:t>hưởng đến sản lượng nông nghiệp của hộ</w:t>
      </w:r>
      <w:r w:rsidR="000E3037" w:rsidRPr="00440785">
        <w:rPr>
          <w:sz w:val="26"/>
          <w:szCs w:val="26"/>
        </w:rPr>
        <w:t xml:space="preserve"> gia đình (Ahmad, 2011)</w:t>
      </w:r>
      <w:r w:rsidRPr="00440785">
        <w:rPr>
          <w:sz w:val="26"/>
          <w:szCs w:val="26"/>
        </w:rPr>
        <w:t xml:space="preserve">. Một số tác giả đã ước tính tác động của tiếp cận tín dụng và số tiền tín dụng đến hiệu quả kỹ thuật (Binam, Tonyè, wandji, Nyambi, &amp; Akoa, 2004; Xi &amp; Li, 2007). Binam và cộng sự (2004) trình bày mối quan hệ tích cực giữa tiếp cận tín dụng và hiệu quả canh tác và cũng gợi ý rằng có thể đạt được sự gia tăng đáng kể về sản lượng và/hoặc giảm chi phí đồng thời bằng công nghệ hiện có. Trong một nghiên cứu về sản xuất lúa gạo ở Việt Nam, tác giả cũng xác nhận rằng hiệu quả kỹ thuật và năng suất lúa chịu ảnh hưởng tích cực bởi tiếp cận tín dụng (Duy, 2012). </w:t>
      </w:r>
    </w:p>
    <w:p w14:paraId="3941102C" w14:textId="73396FEC" w:rsidR="00E55300" w:rsidRPr="00440785" w:rsidRDefault="00E55300" w:rsidP="003F327A">
      <w:pPr>
        <w:spacing w:line="480" w:lineRule="auto"/>
        <w:ind w:firstLine="567"/>
        <w:jc w:val="both"/>
        <w:rPr>
          <w:sz w:val="26"/>
          <w:szCs w:val="26"/>
        </w:rPr>
      </w:pPr>
      <w:r w:rsidRPr="00440785">
        <w:rPr>
          <w:sz w:val="26"/>
          <w:szCs w:val="26"/>
        </w:rPr>
        <w:t xml:space="preserve">Trong nghiên cứu ở Ghana, các tác giả chỉ ra rằng tín dụng phi chính thức có tác động đến năng suất nông nghiệp nông thôn </w:t>
      </w:r>
      <w:r w:rsidR="000E3037" w:rsidRPr="00440785">
        <w:rPr>
          <w:sz w:val="26"/>
          <w:szCs w:val="26"/>
        </w:rPr>
        <w:t>(Sekyi, Domanban &amp; Honya, 2019)</w:t>
      </w:r>
      <w:r w:rsidRPr="00440785">
        <w:rPr>
          <w:sz w:val="26"/>
          <w:szCs w:val="26"/>
        </w:rPr>
        <w:t>. Kết quả cho thấy tác động tích cực đáng kể của tín dụng phi chính thức đến năng suất củ</w:t>
      </w:r>
      <w:r w:rsidR="000E3037" w:rsidRPr="00440785">
        <w:rPr>
          <w:sz w:val="26"/>
          <w:szCs w:val="26"/>
        </w:rPr>
        <w:t>a nông dân.</w:t>
      </w:r>
    </w:p>
    <w:p w14:paraId="613D7E5C" w14:textId="717A2454" w:rsidR="00E55300" w:rsidRPr="00440785" w:rsidRDefault="00E55300" w:rsidP="003F327A">
      <w:pPr>
        <w:spacing w:line="480" w:lineRule="auto"/>
        <w:ind w:firstLine="567"/>
        <w:jc w:val="both"/>
        <w:rPr>
          <w:sz w:val="26"/>
          <w:szCs w:val="26"/>
        </w:rPr>
      </w:pPr>
      <w:r w:rsidRPr="00440785">
        <w:rPr>
          <w:sz w:val="26"/>
          <w:szCs w:val="26"/>
        </w:rPr>
        <w:t>Mặc dù có rất nhiều nghiên cứu ủng hộ tác động đáng kể của tín dụng đối với sản lượng/thu nhập/hiệu quả nông nghiệp cũng như xóa đói giảm nghèo, một số nghiên cứu khác lại đưa ra kết luận trái ngược. Nói cách khác, tiếp cận tín dụng được phát hiện không có tác động đến thu nhập hộ gia đình và xóa đói giảm nghèo. Trong một số trường hợp, tiếp cận tín dụng dễ dàng từ một số nguồn, chẳng hạn như tín dụng vi mô hoặc tín dụng chính thức ưu đãi từ chính phủ, thậm chí dẫn đến tình trạng nợ nần của nông dân khi họ không có tình hình tài chính tốt. Tình trạng này sẽ là gánh nặng tài chính cho họ và không thể ngày càng giúp họ thoát khỏ</w:t>
      </w:r>
      <w:r w:rsidR="000E3037" w:rsidRPr="00440785">
        <w:rPr>
          <w:sz w:val="26"/>
          <w:szCs w:val="26"/>
        </w:rPr>
        <w:t>i đói nghèo (Dale W. Adams và cộng sự, 1992)</w:t>
      </w:r>
    </w:p>
    <w:p w14:paraId="18CD0819" w14:textId="7AD13931" w:rsidR="000E3037" w:rsidRDefault="00E55300" w:rsidP="003F327A">
      <w:pPr>
        <w:spacing w:line="480" w:lineRule="auto"/>
        <w:ind w:firstLine="567"/>
        <w:jc w:val="both"/>
        <w:rPr>
          <w:sz w:val="26"/>
          <w:szCs w:val="26"/>
        </w:rPr>
      </w:pPr>
      <w:r w:rsidRPr="00440785">
        <w:rPr>
          <w:sz w:val="26"/>
          <w:szCs w:val="26"/>
        </w:rPr>
        <w:t>Trong nghiên cứu của Hossain và cộng sự, họ chỉ ra những tác động tích cực của tín dụng vi mô đến thu nhập nông nghiệp trong ngắn hạn trong khi những tác động dài hạ</w:t>
      </w:r>
      <w:r w:rsidR="000E3037" w:rsidRPr="00440785">
        <w:rPr>
          <w:sz w:val="26"/>
          <w:szCs w:val="26"/>
        </w:rPr>
        <w:t xml:space="preserve">n thì không </w:t>
      </w:r>
      <w:r w:rsidRPr="00440785">
        <w:rPr>
          <w:sz w:val="26"/>
          <w:szCs w:val="26"/>
        </w:rPr>
        <w:t xml:space="preserve">(Hossain, Mohammad &amp; Yu, 2021). Nghiên cứu ở Gambia, Châu Phi </w:t>
      </w:r>
      <w:r w:rsidRPr="00440785">
        <w:rPr>
          <w:sz w:val="26"/>
          <w:szCs w:val="26"/>
        </w:rPr>
        <w:lastRenderedPageBreak/>
        <w:t>cũng đề cập đến những tác động xấu của việc tiếp cận tín dụng đối với phúc lợi hộ gia đình (Manja &amp; Badjie, 2022). Điều thú vị là, cả tín dụng chính thức và không chính thức đều được phát hiện có tác động có hại đến phúc lợi. Nghiên cứu trình bày rằng chính sự dễ dàng tiếp cận tín dụng thậm chí còn làm giảm thu nhập của hộ gia đình, đặc biệt là tín dụng không chính thức. Họ rất có khả năng phải chịu mức lãi suất cao rồi sau đó chậm thanh toán hoặc vỡ nợ.</w:t>
      </w:r>
      <w:r w:rsidR="008E6F56" w:rsidRPr="00440785">
        <w:rPr>
          <w:sz w:val="26"/>
          <w:szCs w:val="26"/>
        </w:rPr>
        <w:t xml:space="preserve"> </w:t>
      </w:r>
    </w:p>
    <w:p w14:paraId="47C87974" w14:textId="585BDF6A" w:rsidR="008D616F" w:rsidRPr="00440785" w:rsidRDefault="008D616F" w:rsidP="003F327A">
      <w:pPr>
        <w:spacing w:line="480" w:lineRule="auto"/>
        <w:jc w:val="both"/>
        <w:rPr>
          <w:b/>
          <w:i/>
          <w:sz w:val="26"/>
          <w:szCs w:val="26"/>
        </w:rPr>
      </w:pPr>
      <w:r w:rsidRPr="00440785">
        <w:rPr>
          <w:b/>
          <w:i/>
          <w:sz w:val="26"/>
          <w:szCs w:val="26"/>
        </w:rPr>
        <w:t>2.</w:t>
      </w:r>
      <w:r>
        <w:rPr>
          <w:b/>
          <w:i/>
          <w:sz w:val="26"/>
          <w:szCs w:val="26"/>
        </w:rPr>
        <w:t>3</w:t>
      </w:r>
      <w:r w:rsidRPr="00440785">
        <w:rPr>
          <w:b/>
          <w:i/>
          <w:sz w:val="26"/>
          <w:szCs w:val="26"/>
        </w:rPr>
        <w:t xml:space="preserve">. </w:t>
      </w:r>
      <w:r>
        <w:rPr>
          <w:b/>
          <w:i/>
          <w:sz w:val="26"/>
          <w:szCs w:val="26"/>
        </w:rPr>
        <w:t>Đặc điểm thị trường tín dụng nông thôn Việt Nam</w:t>
      </w:r>
    </w:p>
    <w:p w14:paraId="5C3A6884" w14:textId="3C9BE109" w:rsidR="008D616F" w:rsidRPr="00440785" w:rsidRDefault="001C62F8" w:rsidP="003F327A">
      <w:pPr>
        <w:spacing w:line="480" w:lineRule="auto"/>
        <w:ind w:firstLine="567"/>
        <w:jc w:val="both"/>
        <w:rPr>
          <w:sz w:val="26"/>
          <w:szCs w:val="26"/>
        </w:rPr>
      </w:pPr>
      <w:r w:rsidRPr="001C62F8">
        <w:rPr>
          <w:sz w:val="26"/>
          <w:szCs w:val="26"/>
        </w:rPr>
        <w:t>Thị trường tín dụng nông thôn của Việt Nam cũng như các nước đang phát triển khác bao gồm ba phân khúc chính: thị trường chính thức, bán chính thức và phi chính thứ</w:t>
      </w:r>
      <w:r>
        <w:rPr>
          <w:sz w:val="26"/>
          <w:szCs w:val="26"/>
        </w:rPr>
        <w:t>c. B</w:t>
      </w:r>
      <w:r w:rsidRPr="001C62F8">
        <w:rPr>
          <w:sz w:val="26"/>
          <w:szCs w:val="26"/>
        </w:rPr>
        <w:t>ài viế</w:t>
      </w:r>
      <w:r>
        <w:rPr>
          <w:sz w:val="26"/>
          <w:szCs w:val="26"/>
        </w:rPr>
        <w:t>t này chỉ tập trung nghiên cứu thị trường tín dụng chính thức</w:t>
      </w:r>
      <w:r w:rsidRPr="001C62F8">
        <w:rPr>
          <w:sz w:val="26"/>
          <w:szCs w:val="26"/>
        </w:rPr>
        <w:t>. Hầu hết các ngân hàng thương mại Việt Nam, Ngân hàng Chính sách Xã hội Việ</w:t>
      </w:r>
      <w:r>
        <w:rPr>
          <w:sz w:val="26"/>
          <w:szCs w:val="26"/>
        </w:rPr>
        <w:t xml:space="preserve">t Nam </w:t>
      </w:r>
      <w:r w:rsidRPr="001C62F8">
        <w:rPr>
          <w:sz w:val="26"/>
          <w:szCs w:val="26"/>
        </w:rPr>
        <w:t>và Quỹ Tín dụ</w:t>
      </w:r>
      <w:r>
        <w:rPr>
          <w:sz w:val="26"/>
          <w:szCs w:val="26"/>
        </w:rPr>
        <w:t xml:space="preserve">ng Nhân dân </w:t>
      </w:r>
      <w:r w:rsidRPr="001C62F8">
        <w:rPr>
          <w:sz w:val="26"/>
          <w:szCs w:val="26"/>
        </w:rPr>
        <w:t>là ba nguồn tín dụng chính thức chủ yếu ở khu vực nông thôn Việt Nam. Trong số các ngân hàng thương mại Việt Nam, Ngân hàng Nông nghiệp và Phát triển Nông thôn Việ</w:t>
      </w:r>
      <w:r>
        <w:rPr>
          <w:sz w:val="26"/>
          <w:szCs w:val="26"/>
        </w:rPr>
        <w:t>t Nam</w:t>
      </w:r>
      <w:r w:rsidRPr="001C62F8">
        <w:rPr>
          <w:sz w:val="26"/>
          <w:szCs w:val="26"/>
        </w:rPr>
        <w:t xml:space="preserve"> chiếm tỷ trọng lớn nhất trong</w:t>
      </w:r>
      <w:r>
        <w:rPr>
          <w:sz w:val="26"/>
          <w:szCs w:val="26"/>
        </w:rPr>
        <w:t xml:space="preserve"> việc cung cấp</w:t>
      </w:r>
      <w:r w:rsidRPr="001C62F8">
        <w:rPr>
          <w:sz w:val="26"/>
          <w:szCs w:val="26"/>
        </w:rPr>
        <w:t xml:space="preserve"> các khoản vay cho lĩnh vực nông nghiệ</w:t>
      </w:r>
      <w:r>
        <w:rPr>
          <w:sz w:val="26"/>
          <w:szCs w:val="26"/>
        </w:rPr>
        <w:t>p và nông thôn. Ngân hàng chính sách xã hội</w:t>
      </w:r>
      <w:r w:rsidRPr="001C62F8">
        <w:rPr>
          <w:sz w:val="26"/>
          <w:szCs w:val="26"/>
        </w:rPr>
        <w:t xml:space="preserve"> thường cung cấp tín dụng lãi suất thấp cho người nghèo mà không cần tài sản thế chấp. </w:t>
      </w:r>
      <w:r>
        <w:rPr>
          <w:sz w:val="26"/>
          <w:szCs w:val="26"/>
        </w:rPr>
        <w:t>Dư nợ của bb</w:t>
      </w:r>
      <w:r w:rsidRPr="001C62F8">
        <w:rPr>
          <w:sz w:val="26"/>
          <w:szCs w:val="26"/>
        </w:rPr>
        <w:t>a tổ chứ</w:t>
      </w:r>
      <w:r>
        <w:rPr>
          <w:sz w:val="26"/>
          <w:szCs w:val="26"/>
        </w:rPr>
        <w:t xml:space="preserve">c này </w:t>
      </w:r>
      <w:r w:rsidRPr="001C62F8">
        <w:rPr>
          <w:sz w:val="26"/>
          <w:szCs w:val="26"/>
        </w:rPr>
        <w:t>chiếm khoảng 70% tổng thị phần tín dụng nông thôn. Các nguồn tín dụng phi chính thức ở nông thôn Việt Nam thường đến từ người thân, bạn bè, các tổ chức tín dụng luân chuyển phi chính thức (“hội, hụi, phườ</w:t>
      </w:r>
      <w:r>
        <w:rPr>
          <w:sz w:val="26"/>
          <w:szCs w:val="26"/>
        </w:rPr>
        <w:t>ng”), những người cho vay nặng lãi hoặc mua bán chịu từ các nhà cung cấp ở địa phương</w:t>
      </w:r>
      <w:r w:rsidRPr="001C62F8">
        <w:rPr>
          <w:sz w:val="26"/>
          <w:szCs w:val="26"/>
        </w:rPr>
        <w:t xml:space="preserve"> không cần tài sản thế chấp và lãi suất vay cao. Một trong những đặc điểm nổi bật của thị trường tín dụng nông thôn tại Việt Nam là sự phân chia thành thị trường chính thức và phi chính thức, trong đó thị trường tín dụng phi chính thức có khả năng chiếm ưu thế hơn thị trường chính thức do sự không hoàn thiện của thị trường chính thức và môi trường chính sách.</w:t>
      </w:r>
    </w:p>
    <w:p w14:paraId="3F26197C" w14:textId="15A0011A" w:rsidR="00430DC0" w:rsidRPr="00440785" w:rsidRDefault="003F327A" w:rsidP="003F327A">
      <w:pPr>
        <w:spacing w:line="480" w:lineRule="auto"/>
        <w:jc w:val="both"/>
        <w:rPr>
          <w:b/>
          <w:sz w:val="26"/>
          <w:szCs w:val="26"/>
        </w:rPr>
      </w:pPr>
      <w:r w:rsidRPr="00440785">
        <w:rPr>
          <w:b/>
          <w:sz w:val="26"/>
          <w:szCs w:val="26"/>
        </w:rPr>
        <w:lastRenderedPageBreak/>
        <w:t xml:space="preserve"> </w:t>
      </w:r>
      <w:r w:rsidR="009F1B5F" w:rsidRPr="00440785">
        <w:rPr>
          <w:b/>
          <w:sz w:val="26"/>
          <w:szCs w:val="26"/>
        </w:rPr>
        <w:t>3</w:t>
      </w:r>
      <w:r w:rsidR="00430DC0" w:rsidRPr="00440785">
        <w:rPr>
          <w:b/>
          <w:sz w:val="26"/>
          <w:szCs w:val="26"/>
        </w:rPr>
        <w:t xml:space="preserve">. </w:t>
      </w:r>
      <w:r w:rsidR="003F30F7" w:rsidRPr="00440785">
        <w:rPr>
          <w:b/>
          <w:sz w:val="26"/>
          <w:szCs w:val="26"/>
        </w:rPr>
        <w:t>Phương pháp nghiên cứu</w:t>
      </w:r>
    </w:p>
    <w:p w14:paraId="6EBC0EEE" w14:textId="0439B213" w:rsidR="00AF568F" w:rsidRPr="00440785" w:rsidRDefault="003F30F7" w:rsidP="003F327A">
      <w:pPr>
        <w:spacing w:line="480" w:lineRule="auto"/>
        <w:jc w:val="both"/>
        <w:rPr>
          <w:b/>
          <w:i/>
          <w:sz w:val="26"/>
          <w:szCs w:val="26"/>
        </w:rPr>
      </w:pPr>
      <w:r w:rsidRPr="00440785">
        <w:rPr>
          <w:b/>
          <w:i/>
          <w:sz w:val="26"/>
          <w:szCs w:val="26"/>
        </w:rPr>
        <w:t xml:space="preserve">3.1. Dữ liệu sử dụng </w:t>
      </w:r>
    </w:p>
    <w:tbl>
      <w:tblPr>
        <w:tblStyle w:val="PlainTable2"/>
        <w:tblpPr w:leftFromText="180" w:rightFromText="180" w:vertAnchor="page" w:horzAnchor="page" w:tblpX="1810" w:tblpY="6845"/>
        <w:tblW w:w="9004" w:type="dxa"/>
        <w:tblLayout w:type="fixed"/>
        <w:tblLook w:val="04A0" w:firstRow="1" w:lastRow="0" w:firstColumn="1" w:lastColumn="0" w:noHBand="0" w:noVBand="1"/>
      </w:tblPr>
      <w:tblGrid>
        <w:gridCol w:w="3225"/>
        <w:gridCol w:w="5779"/>
      </w:tblGrid>
      <w:tr w:rsidR="003F327A" w:rsidRPr="00440785" w14:paraId="6E9499B8" w14:textId="77777777" w:rsidTr="003F327A">
        <w:trPr>
          <w:cnfStyle w:val="100000000000" w:firstRow="1" w:lastRow="0" w:firstColumn="0" w:lastColumn="0" w:oddVBand="0" w:evenVBand="0" w:oddHBand="0"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225" w:type="dxa"/>
            <w:noWrap/>
            <w:hideMark/>
          </w:tcPr>
          <w:p w14:paraId="5B6EBE4F" w14:textId="77777777" w:rsidR="003F327A" w:rsidRPr="00440785" w:rsidRDefault="003F327A" w:rsidP="003F327A">
            <w:pPr>
              <w:spacing w:line="360" w:lineRule="auto"/>
              <w:jc w:val="both"/>
              <w:rPr>
                <w:b w:val="0"/>
                <w:bCs w:val="0"/>
                <w:sz w:val="26"/>
                <w:szCs w:val="26"/>
                <w:lang w:val="en-AU"/>
              </w:rPr>
            </w:pPr>
            <w:r>
              <w:rPr>
                <w:sz w:val="26"/>
                <w:szCs w:val="26"/>
                <w:lang w:val="en-AU"/>
              </w:rPr>
              <w:t>Biến</w:t>
            </w:r>
          </w:p>
        </w:tc>
        <w:tc>
          <w:tcPr>
            <w:tcW w:w="5779" w:type="dxa"/>
            <w:noWrap/>
          </w:tcPr>
          <w:p w14:paraId="4287CB72" w14:textId="77777777" w:rsidR="003F327A" w:rsidRPr="00440785" w:rsidRDefault="003F327A" w:rsidP="003F327A">
            <w:pPr>
              <w:spacing w:line="360" w:lineRule="auto"/>
              <w:jc w:val="both"/>
              <w:cnfStyle w:val="100000000000" w:firstRow="1" w:lastRow="0" w:firstColumn="0" w:lastColumn="0" w:oddVBand="0" w:evenVBand="0" w:oddHBand="0" w:evenHBand="0" w:firstRowFirstColumn="0" w:firstRowLastColumn="0" w:lastRowFirstColumn="0" w:lastRowLastColumn="0"/>
              <w:rPr>
                <w:b w:val="0"/>
                <w:bCs w:val="0"/>
                <w:sz w:val="26"/>
                <w:szCs w:val="26"/>
                <w:lang w:val="en-AU"/>
              </w:rPr>
            </w:pPr>
            <w:r>
              <w:rPr>
                <w:sz w:val="26"/>
                <w:szCs w:val="26"/>
                <w:lang w:val="en-AU"/>
              </w:rPr>
              <w:t>Mô tả</w:t>
            </w:r>
          </w:p>
        </w:tc>
      </w:tr>
      <w:tr w:rsidR="003F327A" w:rsidRPr="00440785" w14:paraId="4B1C9350" w14:textId="77777777" w:rsidTr="003F327A">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3225" w:type="dxa"/>
            <w:noWrap/>
            <w:hideMark/>
          </w:tcPr>
          <w:p w14:paraId="55DA28B8" w14:textId="77777777" w:rsidR="003F327A" w:rsidRPr="00440785" w:rsidRDefault="003F327A" w:rsidP="003F327A">
            <w:pPr>
              <w:spacing w:line="360" w:lineRule="auto"/>
              <w:jc w:val="both"/>
              <w:rPr>
                <w:b w:val="0"/>
                <w:sz w:val="26"/>
                <w:szCs w:val="26"/>
                <w:lang w:val="en-AU"/>
              </w:rPr>
            </w:pPr>
            <w:r w:rsidRPr="00440785">
              <w:rPr>
                <w:b w:val="0"/>
                <w:sz w:val="26"/>
                <w:szCs w:val="26"/>
                <w:lang w:val="en-AU"/>
              </w:rPr>
              <w:t>Tuổi</w:t>
            </w:r>
          </w:p>
        </w:tc>
        <w:tc>
          <w:tcPr>
            <w:tcW w:w="5779" w:type="dxa"/>
            <w:noWrap/>
          </w:tcPr>
          <w:p w14:paraId="2D5904DE" w14:textId="77777777" w:rsidR="003F327A" w:rsidRPr="00440785" w:rsidRDefault="003F327A" w:rsidP="003F327A">
            <w:pPr>
              <w:spacing w:line="360" w:lineRule="auto"/>
              <w:jc w:val="both"/>
              <w:cnfStyle w:val="000000100000" w:firstRow="0" w:lastRow="0" w:firstColumn="0" w:lastColumn="0" w:oddVBand="0" w:evenVBand="0" w:oddHBand="1" w:evenHBand="0" w:firstRowFirstColumn="0" w:firstRowLastColumn="0" w:lastRowFirstColumn="0" w:lastRowLastColumn="0"/>
              <w:rPr>
                <w:sz w:val="26"/>
                <w:szCs w:val="26"/>
                <w:lang w:val="en-AU"/>
              </w:rPr>
            </w:pPr>
            <w:r w:rsidRPr="00440785">
              <w:rPr>
                <w:sz w:val="26"/>
                <w:szCs w:val="26"/>
                <w:lang w:val="en-AU"/>
              </w:rPr>
              <w:t>Tuổi của chủ hộ</w:t>
            </w:r>
          </w:p>
        </w:tc>
      </w:tr>
      <w:tr w:rsidR="003F327A" w:rsidRPr="00440785" w14:paraId="5D7C3245" w14:textId="77777777" w:rsidTr="003F327A">
        <w:trPr>
          <w:trHeight w:val="291"/>
        </w:trPr>
        <w:tc>
          <w:tcPr>
            <w:cnfStyle w:val="001000000000" w:firstRow="0" w:lastRow="0" w:firstColumn="1" w:lastColumn="0" w:oddVBand="0" w:evenVBand="0" w:oddHBand="0" w:evenHBand="0" w:firstRowFirstColumn="0" w:firstRowLastColumn="0" w:lastRowFirstColumn="0" w:lastRowLastColumn="0"/>
            <w:tcW w:w="3225" w:type="dxa"/>
            <w:noWrap/>
          </w:tcPr>
          <w:p w14:paraId="224C35A9" w14:textId="77777777" w:rsidR="003F327A" w:rsidRPr="00440785" w:rsidRDefault="003F327A" w:rsidP="003F327A">
            <w:pPr>
              <w:spacing w:line="360" w:lineRule="auto"/>
              <w:jc w:val="both"/>
              <w:rPr>
                <w:b w:val="0"/>
                <w:sz w:val="26"/>
                <w:szCs w:val="26"/>
                <w:lang w:val="en-AU"/>
              </w:rPr>
            </w:pPr>
            <w:r w:rsidRPr="00440785">
              <w:rPr>
                <w:b w:val="0"/>
                <w:sz w:val="26"/>
                <w:szCs w:val="26"/>
                <w:lang w:val="en-AU"/>
              </w:rPr>
              <w:t>Giáo dục</w:t>
            </w:r>
          </w:p>
        </w:tc>
        <w:tc>
          <w:tcPr>
            <w:tcW w:w="5779" w:type="dxa"/>
            <w:noWrap/>
          </w:tcPr>
          <w:p w14:paraId="60B366D0" w14:textId="77777777" w:rsidR="003F327A" w:rsidRPr="00440785" w:rsidRDefault="003F327A" w:rsidP="003F327A">
            <w:pPr>
              <w:spacing w:line="360" w:lineRule="auto"/>
              <w:jc w:val="both"/>
              <w:cnfStyle w:val="000000000000" w:firstRow="0" w:lastRow="0" w:firstColumn="0" w:lastColumn="0" w:oddVBand="0" w:evenVBand="0" w:oddHBand="0" w:evenHBand="0" w:firstRowFirstColumn="0" w:firstRowLastColumn="0" w:lastRowFirstColumn="0" w:lastRowLastColumn="0"/>
              <w:rPr>
                <w:sz w:val="26"/>
                <w:szCs w:val="26"/>
                <w:lang w:val="en-AU"/>
              </w:rPr>
            </w:pPr>
            <w:r w:rsidRPr="00440785">
              <w:rPr>
                <w:sz w:val="26"/>
                <w:szCs w:val="26"/>
                <w:lang w:val="en-AU"/>
              </w:rPr>
              <w:t>Giáo dục của chủ hộ</w:t>
            </w:r>
          </w:p>
        </w:tc>
      </w:tr>
      <w:tr w:rsidR="003F327A" w:rsidRPr="00440785" w14:paraId="39782827" w14:textId="77777777" w:rsidTr="003F327A">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3225" w:type="dxa"/>
            <w:noWrap/>
          </w:tcPr>
          <w:p w14:paraId="00A172D0" w14:textId="77777777" w:rsidR="003F327A" w:rsidRPr="00440785" w:rsidRDefault="003F327A" w:rsidP="003F327A">
            <w:pPr>
              <w:spacing w:line="360" w:lineRule="auto"/>
              <w:jc w:val="both"/>
              <w:rPr>
                <w:b w:val="0"/>
                <w:sz w:val="26"/>
                <w:szCs w:val="26"/>
                <w:lang w:val="en-AU"/>
              </w:rPr>
            </w:pPr>
            <w:r w:rsidRPr="00440785">
              <w:rPr>
                <w:b w:val="0"/>
                <w:sz w:val="26"/>
                <w:szCs w:val="26"/>
                <w:lang w:val="en-AU"/>
              </w:rPr>
              <w:t>Giới tính chủ hộ</w:t>
            </w:r>
          </w:p>
        </w:tc>
        <w:tc>
          <w:tcPr>
            <w:tcW w:w="5779" w:type="dxa"/>
            <w:noWrap/>
          </w:tcPr>
          <w:p w14:paraId="4CBE3EB3" w14:textId="77777777" w:rsidR="003F327A" w:rsidRPr="00440785" w:rsidRDefault="003F327A" w:rsidP="003F327A">
            <w:pPr>
              <w:spacing w:line="360" w:lineRule="auto"/>
              <w:jc w:val="both"/>
              <w:cnfStyle w:val="000000100000" w:firstRow="0" w:lastRow="0" w:firstColumn="0" w:lastColumn="0" w:oddVBand="0" w:evenVBand="0" w:oddHBand="1" w:evenHBand="0" w:firstRowFirstColumn="0" w:firstRowLastColumn="0" w:lastRowFirstColumn="0" w:lastRowLastColumn="0"/>
              <w:rPr>
                <w:sz w:val="26"/>
                <w:szCs w:val="26"/>
                <w:lang w:val="en-AU"/>
              </w:rPr>
            </w:pPr>
            <w:r w:rsidRPr="00440785">
              <w:rPr>
                <w:sz w:val="26"/>
                <w:szCs w:val="26"/>
                <w:lang w:val="en-AU"/>
              </w:rPr>
              <w:t>Nam: 1; Nữ: 0</w:t>
            </w:r>
          </w:p>
        </w:tc>
      </w:tr>
      <w:tr w:rsidR="003F327A" w:rsidRPr="00440785" w14:paraId="42B22636" w14:textId="77777777" w:rsidTr="003F327A">
        <w:trPr>
          <w:trHeight w:val="291"/>
        </w:trPr>
        <w:tc>
          <w:tcPr>
            <w:cnfStyle w:val="001000000000" w:firstRow="0" w:lastRow="0" w:firstColumn="1" w:lastColumn="0" w:oddVBand="0" w:evenVBand="0" w:oddHBand="0" w:evenHBand="0" w:firstRowFirstColumn="0" w:firstRowLastColumn="0" w:lastRowFirstColumn="0" w:lastRowLastColumn="0"/>
            <w:tcW w:w="3225" w:type="dxa"/>
            <w:noWrap/>
          </w:tcPr>
          <w:p w14:paraId="51A93E47" w14:textId="77777777" w:rsidR="003F327A" w:rsidRPr="00440785" w:rsidRDefault="003F327A" w:rsidP="003F327A">
            <w:pPr>
              <w:spacing w:line="360" w:lineRule="auto"/>
              <w:jc w:val="both"/>
              <w:rPr>
                <w:b w:val="0"/>
                <w:sz w:val="26"/>
                <w:szCs w:val="26"/>
                <w:lang w:val="en-AU"/>
              </w:rPr>
            </w:pPr>
            <w:r w:rsidRPr="00440785">
              <w:rPr>
                <w:b w:val="0"/>
                <w:sz w:val="26"/>
                <w:szCs w:val="26"/>
                <w:lang w:val="en-AU"/>
              </w:rPr>
              <w:t>Tổng số người</w:t>
            </w:r>
          </w:p>
        </w:tc>
        <w:tc>
          <w:tcPr>
            <w:tcW w:w="5779" w:type="dxa"/>
            <w:noWrap/>
          </w:tcPr>
          <w:p w14:paraId="64C70906" w14:textId="77777777" w:rsidR="003F327A" w:rsidRPr="00440785" w:rsidRDefault="003F327A" w:rsidP="003F327A">
            <w:pPr>
              <w:spacing w:line="360" w:lineRule="auto"/>
              <w:jc w:val="both"/>
              <w:cnfStyle w:val="000000000000" w:firstRow="0" w:lastRow="0" w:firstColumn="0" w:lastColumn="0" w:oddVBand="0" w:evenVBand="0" w:oddHBand="0" w:evenHBand="0" w:firstRowFirstColumn="0" w:firstRowLastColumn="0" w:lastRowFirstColumn="0" w:lastRowLastColumn="0"/>
              <w:rPr>
                <w:sz w:val="26"/>
                <w:szCs w:val="26"/>
                <w:lang w:val="en-AU"/>
              </w:rPr>
            </w:pPr>
            <w:r w:rsidRPr="00440785">
              <w:rPr>
                <w:sz w:val="26"/>
                <w:szCs w:val="26"/>
                <w:lang w:val="en-AU"/>
              </w:rPr>
              <w:t>Tổng số người trong hộ</w:t>
            </w:r>
          </w:p>
        </w:tc>
      </w:tr>
      <w:tr w:rsidR="003F327A" w:rsidRPr="00440785" w14:paraId="4BC10686" w14:textId="77777777" w:rsidTr="003F327A">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3225" w:type="dxa"/>
            <w:noWrap/>
          </w:tcPr>
          <w:p w14:paraId="4770C932" w14:textId="77777777" w:rsidR="003F327A" w:rsidRPr="00440785" w:rsidRDefault="003F327A" w:rsidP="003F327A">
            <w:pPr>
              <w:spacing w:line="360" w:lineRule="auto"/>
              <w:jc w:val="both"/>
              <w:rPr>
                <w:b w:val="0"/>
                <w:sz w:val="26"/>
                <w:szCs w:val="26"/>
                <w:lang w:val="en-AU"/>
              </w:rPr>
            </w:pPr>
            <w:r w:rsidRPr="00440785">
              <w:rPr>
                <w:b w:val="0"/>
                <w:sz w:val="26"/>
                <w:szCs w:val="26"/>
                <w:lang w:val="en-AU"/>
              </w:rPr>
              <w:t>Tỷ lệ phụ thuộc</w:t>
            </w:r>
          </w:p>
        </w:tc>
        <w:tc>
          <w:tcPr>
            <w:tcW w:w="5779" w:type="dxa"/>
            <w:noWrap/>
          </w:tcPr>
          <w:p w14:paraId="4CE36C5D" w14:textId="77777777" w:rsidR="003F327A" w:rsidRPr="00440785" w:rsidRDefault="003F327A" w:rsidP="003F327A">
            <w:pPr>
              <w:spacing w:line="360" w:lineRule="auto"/>
              <w:jc w:val="both"/>
              <w:cnfStyle w:val="000000100000" w:firstRow="0" w:lastRow="0" w:firstColumn="0" w:lastColumn="0" w:oddVBand="0" w:evenVBand="0" w:oddHBand="1" w:evenHBand="0" w:firstRowFirstColumn="0" w:firstRowLastColumn="0" w:lastRowFirstColumn="0" w:lastRowLastColumn="0"/>
              <w:rPr>
                <w:sz w:val="26"/>
                <w:szCs w:val="26"/>
                <w:lang w:val="en-AU"/>
              </w:rPr>
            </w:pPr>
            <w:r w:rsidRPr="00440785">
              <w:rPr>
                <w:sz w:val="26"/>
                <w:szCs w:val="26"/>
                <w:lang w:val="en-AU"/>
              </w:rPr>
              <w:t>Tỷ lệ số người phụ thuộc trên tổng số người</w:t>
            </w:r>
          </w:p>
        </w:tc>
      </w:tr>
      <w:tr w:rsidR="003F327A" w:rsidRPr="00440785" w14:paraId="75B75EBF" w14:textId="77777777" w:rsidTr="003F327A">
        <w:trPr>
          <w:trHeight w:val="291"/>
        </w:trPr>
        <w:tc>
          <w:tcPr>
            <w:cnfStyle w:val="001000000000" w:firstRow="0" w:lastRow="0" w:firstColumn="1" w:lastColumn="0" w:oddVBand="0" w:evenVBand="0" w:oddHBand="0" w:evenHBand="0" w:firstRowFirstColumn="0" w:firstRowLastColumn="0" w:lastRowFirstColumn="0" w:lastRowLastColumn="0"/>
            <w:tcW w:w="3225" w:type="dxa"/>
            <w:noWrap/>
          </w:tcPr>
          <w:p w14:paraId="47241B3F" w14:textId="77777777" w:rsidR="003F327A" w:rsidRPr="00440785" w:rsidRDefault="003F327A" w:rsidP="003F327A">
            <w:pPr>
              <w:spacing w:line="360" w:lineRule="auto"/>
              <w:jc w:val="both"/>
              <w:rPr>
                <w:b w:val="0"/>
                <w:sz w:val="26"/>
                <w:szCs w:val="26"/>
                <w:lang w:val="en-AU"/>
              </w:rPr>
            </w:pPr>
            <w:r w:rsidRPr="00440785">
              <w:rPr>
                <w:b w:val="0"/>
                <w:sz w:val="26"/>
                <w:szCs w:val="26"/>
                <w:lang w:val="en-AU"/>
              </w:rPr>
              <w:t xml:space="preserve">Ngành nghề chính </w:t>
            </w:r>
          </w:p>
          <w:p w14:paraId="4F360E30" w14:textId="77777777" w:rsidR="003F327A" w:rsidRPr="00440785" w:rsidRDefault="003F327A" w:rsidP="003F327A">
            <w:pPr>
              <w:spacing w:line="360" w:lineRule="auto"/>
              <w:jc w:val="both"/>
              <w:rPr>
                <w:b w:val="0"/>
                <w:sz w:val="26"/>
                <w:szCs w:val="26"/>
                <w:lang w:val="en-AU"/>
              </w:rPr>
            </w:pPr>
            <w:r w:rsidRPr="00440785">
              <w:rPr>
                <w:b w:val="0"/>
                <w:sz w:val="26"/>
                <w:szCs w:val="26"/>
                <w:lang w:val="en-AU"/>
              </w:rPr>
              <w:t>của chủ hộ</w:t>
            </w:r>
          </w:p>
        </w:tc>
        <w:tc>
          <w:tcPr>
            <w:tcW w:w="5779" w:type="dxa"/>
            <w:noWrap/>
          </w:tcPr>
          <w:p w14:paraId="67CB1A28" w14:textId="77777777" w:rsidR="003F327A" w:rsidRPr="00440785" w:rsidRDefault="003F327A" w:rsidP="003F327A">
            <w:pPr>
              <w:spacing w:line="360" w:lineRule="auto"/>
              <w:jc w:val="both"/>
              <w:cnfStyle w:val="000000000000" w:firstRow="0" w:lastRow="0" w:firstColumn="0" w:lastColumn="0" w:oddVBand="0" w:evenVBand="0" w:oddHBand="0" w:evenHBand="0" w:firstRowFirstColumn="0" w:firstRowLastColumn="0" w:lastRowFirstColumn="0" w:lastRowLastColumn="0"/>
              <w:rPr>
                <w:sz w:val="26"/>
                <w:szCs w:val="26"/>
                <w:vertAlign w:val="superscript"/>
                <w:lang w:val="en-AU"/>
              </w:rPr>
            </w:pPr>
            <w:r w:rsidRPr="00440785">
              <w:rPr>
                <w:sz w:val="26"/>
                <w:szCs w:val="26"/>
                <w:lang w:val="en-AU"/>
              </w:rPr>
              <w:t>Nghề nghiệp của chủ hộ, 1 nếu là nông dân, 0: còn lại</w:t>
            </w:r>
          </w:p>
        </w:tc>
      </w:tr>
      <w:tr w:rsidR="003F327A" w:rsidRPr="00440785" w14:paraId="1643DE5A" w14:textId="77777777" w:rsidTr="003F327A">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3225" w:type="dxa"/>
            <w:noWrap/>
          </w:tcPr>
          <w:p w14:paraId="16BACD03" w14:textId="77777777" w:rsidR="003F327A" w:rsidRPr="00440785" w:rsidRDefault="003F327A" w:rsidP="003F327A">
            <w:pPr>
              <w:spacing w:line="360" w:lineRule="auto"/>
              <w:jc w:val="both"/>
              <w:rPr>
                <w:b w:val="0"/>
                <w:sz w:val="26"/>
                <w:szCs w:val="26"/>
                <w:lang w:val="en-AU"/>
              </w:rPr>
            </w:pPr>
            <w:r w:rsidRPr="00440785">
              <w:rPr>
                <w:b w:val="0"/>
                <w:sz w:val="26"/>
                <w:szCs w:val="26"/>
                <w:lang w:val="en-AU"/>
              </w:rPr>
              <w:t>Chuyên môn của chủ hộ</w:t>
            </w:r>
          </w:p>
        </w:tc>
        <w:tc>
          <w:tcPr>
            <w:tcW w:w="5779" w:type="dxa"/>
            <w:noWrap/>
          </w:tcPr>
          <w:p w14:paraId="175796E0" w14:textId="77777777" w:rsidR="003F327A" w:rsidRPr="00440785" w:rsidRDefault="003F327A" w:rsidP="003F327A">
            <w:pPr>
              <w:spacing w:line="360" w:lineRule="auto"/>
              <w:jc w:val="both"/>
              <w:cnfStyle w:val="000000100000" w:firstRow="0" w:lastRow="0" w:firstColumn="0" w:lastColumn="0" w:oddVBand="0" w:evenVBand="0" w:oddHBand="1" w:evenHBand="0" w:firstRowFirstColumn="0" w:firstRowLastColumn="0" w:lastRowFirstColumn="0" w:lastRowLastColumn="0"/>
              <w:rPr>
                <w:sz w:val="26"/>
                <w:szCs w:val="26"/>
                <w:lang w:val="en-AU"/>
              </w:rPr>
            </w:pPr>
            <w:r w:rsidRPr="00440785">
              <w:rPr>
                <w:sz w:val="26"/>
                <w:szCs w:val="26"/>
                <w:lang w:val="en-AU"/>
              </w:rPr>
              <w:t>Lao động giản đơn: 1, 0: còn lại</w:t>
            </w:r>
          </w:p>
        </w:tc>
      </w:tr>
      <w:tr w:rsidR="003F327A" w:rsidRPr="00440785" w14:paraId="41CF5446" w14:textId="77777777" w:rsidTr="003F327A">
        <w:trPr>
          <w:trHeight w:val="291"/>
        </w:trPr>
        <w:tc>
          <w:tcPr>
            <w:cnfStyle w:val="001000000000" w:firstRow="0" w:lastRow="0" w:firstColumn="1" w:lastColumn="0" w:oddVBand="0" w:evenVBand="0" w:oddHBand="0" w:evenHBand="0" w:firstRowFirstColumn="0" w:firstRowLastColumn="0" w:lastRowFirstColumn="0" w:lastRowLastColumn="0"/>
            <w:tcW w:w="3225" w:type="dxa"/>
            <w:noWrap/>
          </w:tcPr>
          <w:p w14:paraId="44B5E768" w14:textId="77777777" w:rsidR="003F327A" w:rsidRPr="00440785" w:rsidRDefault="003F327A" w:rsidP="003F327A">
            <w:pPr>
              <w:spacing w:line="360" w:lineRule="auto"/>
              <w:jc w:val="both"/>
              <w:rPr>
                <w:b w:val="0"/>
                <w:sz w:val="26"/>
                <w:szCs w:val="26"/>
                <w:lang w:val="en-AU"/>
              </w:rPr>
            </w:pPr>
            <w:r w:rsidRPr="00440785">
              <w:rPr>
                <w:b w:val="0"/>
                <w:sz w:val="26"/>
                <w:szCs w:val="26"/>
                <w:lang w:val="en-AU"/>
              </w:rPr>
              <w:t>Diện tích đất NN</w:t>
            </w:r>
          </w:p>
        </w:tc>
        <w:tc>
          <w:tcPr>
            <w:tcW w:w="5779" w:type="dxa"/>
            <w:noWrap/>
          </w:tcPr>
          <w:p w14:paraId="117B49EA" w14:textId="77777777" w:rsidR="003F327A" w:rsidRPr="00440785" w:rsidRDefault="003F327A" w:rsidP="003F327A">
            <w:pPr>
              <w:spacing w:line="360" w:lineRule="auto"/>
              <w:jc w:val="both"/>
              <w:cnfStyle w:val="000000000000" w:firstRow="0" w:lastRow="0" w:firstColumn="0" w:lastColumn="0" w:oddVBand="0" w:evenVBand="0" w:oddHBand="0" w:evenHBand="0" w:firstRowFirstColumn="0" w:firstRowLastColumn="0" w:lastRowFirstColumn="0" w:lastRowLastColumn="0"/>
              <w:rPr>
                <w:sz w:val="26"/>
                <w:szCs w:val="26"/>
                <w:lang w:val="en-AU"/>
              </w:rPr>
            </w:pPr>
            <w:r w:rsidRPr="00440785">
              <w:rPr>
                <w:sz w:val="26"/>
                <w:szCs w:val="26"/>
                <w:lang w:val="en-AU"/>
              </w:rPr>
              <w:t>Logarit (Diện tích đất NN</w:t>
            </w:r>
            <w:r>
              <w:rPr>
                <w:sz w:val="26"/>
                <w:szCs w:val="26"/>
                <w:lang w:val="en-AU"/>
              </w:rPr>
              <w:t xml:space="preserve"> theo</w:t>
            </w:r>
            <w:r w:rsidRPr="00440785">
              <w:rPr>
                <w:sz w:val="26"/>
                <w:szCs w:val="26"/>
                <w:lang w:val="en-AU"/>
              </w:rPr>
              <w:t>)</w:t>
            </w:r>
          </w:p>
        </w:tc>
      </w:tr>
      <w:tr w:rsidR="003F327A" w:rsidRPr="00440785" w14:paraId="4CC3A838" w14:textId="77777777" w:rsidTr="003F327A">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3225" w:type="dxa"/>
            <w:noWrap/>
          </w:tcPr>
          <w:p w14:paraId="49E0D918" w14:textId="77777777" w:rsidR="003F327A" w:rsidRPr="00440785" w:rsidRDefault="003F327A" w:rsidP="003F327A">
            <w:pPr>
              <w:spacing w:line="360" w:lineRule="auto"/>
              <w:jc w:val="both"/>
              <w:rPr>
                <w:sz w:val="26"/>
                <w:szCs w:val="26"/>
                <w:lang w:val="en-AU"/>
              </w:rPr>
            </w:pPr>
            <w:r w:rsidRPr="00440785">
              <w:rPr>
                <w:b w:val="0"/>
                <w:sz w:val="26"/>
                <w:szCs w:val="26"/>
                <w:lang w:val="en-AU"/>
              </w:rPr>
              <w:t>Thu nhập của hộ</w:t>
            </w:r>
          </w:p>
        </w:tc>
        <w:tc>
          <w:tcPr>
            <w:tcW w:w="5779" w:type="dxa"/>
            <w:noWrap/>
          </w:tcPr>
          <w:p w14:paraId="51F55B7D" w14:textId="77777777" w:rsidR="003F327A" w:rsidRPr="00440785" w:rsidRDefault="003F327A" w:rsidP="003F327A">
            <w:pPr>
              <w:spacing w:line="360" w:lineRule="auto"/>
              <w:jc w:val="both"/>
              <w:cnfStyle w:val="000000100000" w:firstRow="0" w:lastRow="0" w:firstColumn="0" w:lastColumn="0" w:oddVBand="0" w:evenVBand="0" w:oddHBand="1" w:evenHBand="0" w:firstRowFirstColumn="0" w:firstRowLastColumn="0" w:lastRowFirstColumn="0" w:lastRowLastColumn="0"/>
              <w:rPr>
                <w:sz w:val="26"/>
                <w:szCs w:val="26"/>
                <w:lang w:val="en-AU"/>
              </w:rPr>
            </w:pPr>
            <w:r w:rsidRPr="00440785">
              <w:rPr>
                <w:sz w:val="26"/>
                <w:szCs w:val="26"/>
                <w:lang w:val="en-AU"/>
              </w:rPr>
              <w:t>Logarit (tổng thu nhập của hộ)</w:t>
            </w:r>
          </w:p>
        </w:tc>
      </w:tr>
      <w:tr w:rsidR="003F327A" w:rsidRPr="00440785" w14:paraId="3DDE0B99" w14:textId="77777777" w:rsidTr="003F327A">
        <w:trPr>
          <w:trHeight w:val="291"/>
        </w:trPr>
        <w:tc>
          <w:tcPr>
            <w:cnfStyle w:val="001000000000" w:firstRow="0" w:lastRow="0" w:firstColumn="1" w:lastColumn="0" w:oddVBand="0" w:evenVBand="0" w:oddHBand="0" w:evenHBand="0" w:firstRowFirstColumn="0" w:firstRowLastColumn="0" w:lastRowFirstColumn="0" w:lastRowLastColumn="0"/>
            <w:tcW w:w="3225" w:type="dxa"/>
            <w:noWrap/>
          </w:tcPr>
          <w:p w14:paraId="09195612" w14:textId="77777777" w:rsidR="003F327A" w:rsidRPr="00440785" w:rsidRDefault="003F327A" w:rsidP="003F327A">
            <w:pPr>
              <w:spacing w:line="360" w:lineRule="auto"/>
              <w:jc w:val="both"/>
              <w:rPr>
                <w:b w:val="0"/>
                <w:sz w:val="26"/>
                <w:szCs w:val="26"/>
                <w:lang w:val="en-AU"/>
              </w:rPr>
            </w:pPr>
            <w:r>
              <w:rPr>
                <w:b w:val="0"/>
                <w:sz w:val="26"/>
                <w:szCs w:val="26"/>
                <w:lang w:val="en-AU"/>
              </w:rPr>
              <w:t xml:space="preserve">Thu </w:t>
            </w:r>
            <w:r w:rsidRPr="00440785">
              <w:rPr>
                <w:b w:val="0"/>
                <w:sz w:val="26"/>
                <w:szCs w:val="26"/>
                <w:lang w:val="en-AU"/>
              </w:rPr>
              <w:t>nhập từ nông nghiệp</w:t>
            </w:r>
          </w:p>
        </w:tc>
        <w:tc>
          <w:tcPr>
            <w:tcW w:w="5779" w:type="dxa"/>
            <w:noWrap/>
          </w:tcPr>
          <w:p w14:paraId="2C07AF55" w14:textId="77777777" w:rsidR="003F327A" w:rsidRPr="00440785" w:rsidRDefault="003F327A" w:rsidP="003F327A">
            <w:pPr>
              <w:spacing w:line="360" w:lineRule="auto"/>
              <w:jc w:val="both"/>
              <w:cnfStyle w:val="000000000000" w:firstRow="0" w:lastRow="0" w:firstColumn="0" w:lastColumn="0" w:oddVBand="0" w:evenVBand="0" w:oddHBand="0" w:evenHBand="0" w:firstRowFirstColumn="0" w:firstRowLastColumn="0" w:lastRowFirstColumn="0" w:lastRowLastColumn="0"/>
              <w:rPr>
                <w:sz w:val="26"/>
                <w:szCs w:val="26"/>
                <w:lang w:val="en-AU"/>
              </w:rPr>
            </w:pPr>
            <w:r w:rsidRPr="00440785">
              <w:rPr>
                <w:sz w:val="26"/>
                <w:szCs w:val="26"/>
                <w:lang w:val="en-AU"/>
              </w:rPr>
              <w:t>Logarit (Thu nhập từ nông nghiệp)</w:t>
            </w:r>
          </w:p>
        </w:tc>
      </w:tr>
    </w:tbl>
    <w:p w14:paraId="147EEE68" w14:textId="0A6FBD82" w:rsidR="004F6897" w:rsidRDefault="003F327A" w:rsidP="003F327A">
      <w:pPr>
        <w:spacing w:line="480" w:lineRule="auto"/>
        <w:ind w:firstLine="567"/>
        <w:jc w:val="both"/>
        <w:rPr>
          <w:sz w:val="26"/>
          <w:szCs w:val="26"/>
        </w:rPr>
      </w:pPr>
      <w:r w:rsidRPr="00440785">
        <w:rPr>
          <w:sz w:val="26"/>
          <w:szCs w:val="26"/>
        </w:rPr>
        <w:t xml:space="preserve"> </w:t>
      </w:r>
      <w:r w:rsidR="003F30F7" w:rsidRPr="00440785">
        <w:rPr>
          <w:sz w:val="26"/>
          <w:szCs w:val="26"/>
        </w:rPr>
        <w:t>Nghiên cứu đã sử dụng dữ liệu từ bộ mức sống dân cư</w:t>
      </w:r>
      <w:r w:rsidR="00651385" w:rsidRPr="00440785">
        <w:rPr>
          <w:sz w:val="26"/>
          <w:szCs w:val="26"/>
        </w:rPr>
        <w:t xml:space="preserve"> VHLSS 2020</w:t>
      </w:r>
      <w:r w:rsidR="003F30F7" w:rsidRPr="00440785">
        <w:rPr>
          <w:sz w:val="26"/>
          <w:szCs w:val="26"/>
        </w:rPr>
        <w:t xml:space="preserve"> của tổng cục thống kê Việt Nam với các hộ</w:t>
      </w:r>
      <w:r w:rsidR="00351C4A" w:rsidRPr="00440785">
        <w:rPr>
          <w:sz w:val="26"/>
          <w:szCs w:val="26"/>
        </w:rPr>
        <w:t xml:space="preserve"> nghèo theo chuẩn nghèo đa chiều (</w:t>
      </w:r>
      <w:r w:rsidR="008F2641" w:rsidRPr="00440785">
        <w:rPr>
          <w:sz w:val="26"/>
          <w:szCs w:val="26"/>
        </w:rPr>
        <w:t>Chính Phủ, 2015)</w:t>
      </w:r>
      <w:r w:rsidR="00351C4A" w:rsidRPr="00440785">
        <w:rPr>
          <w:sz w:val="26"/>
          <w:szCs w:val="26"/>
        </w:rPr>
        <w:t xml:space="preserve"> </w:t>
      </w:r>
      <w:r w:rsidR="003F30F7" w:rsidRPr="00440785">
        <w:rPr>
          <w:sz w:val="26"/>
          <w:szCs w:val="26"/>
        </w:rPr>
        <w:t>được chọn ở khu vực nông thông trung du và miền núi phía Bắc của Việt Nam, bao gồm 14 tỉnh: Bắc Giang, Cao Bằng, Điện Biên, Bắc Kạn, Hà Giang, Hoà Bình, Lạng Sơn, Lai Châu, Lào Cai, Phú Thọ, Sơn La, Th</w:t>
      </w:r>
      <w:r w:rsidR="006C2A1C" w:rsidRPr="00440785">
        <w:rPr>
          <w:sz w:val="26"/>
          <w:szCs w:val="26"/>
        </w:rPr>
        <w:t>ái Nguyên, Tuyên Quang, Yên Bái.</w:t>
      </w:r>
      <w:bookmarkStart w:id="0" w:name="_GoBack"/>
      <w:bookmarkEnd w:id="0"/>
    </w:p>
    <w:p w14:paraId="6FEB33BA" w14:textId="77777777" w:rsidR="003F327A" w:rsidRPr="00182ABE" w:rsidRDefault="003F327A" w:rsidP="003F327A">
      <w:pPr>
        <w:spacing w:line="480" w:lineRule="auto"/>
        <w:jc w:val="center"/>
        <w:rPr>
          <w:sz w:val="26"/>
          <w:szCs w:val="26"/>
        </w:rPr>
      </w:pPr>
      <w:r w:rsidRPr="00182ABE">
        <w:rPr>
          <w:sz w:val="26"/>
          <w:szCs w:val="26"/>
        </w:rPr>
        <w:t>Bảng 1. Mô tả biến</w:t>
      </w:r>
    </w:p>
    <w:p w14:paraId="4314E398" w14:textId="77777777" w:rsidR="00212889" w:rsidRPr="00440785" w:rsidRDefault="00212889" w:rsidP="003F327A">
      <w:pPr>
        <w:spacing w:line="480" w:lineRule="auto"/>
        <w:ind w:firstLine="567"/>
        <w:jc w:val="both"/>
        <w:rPr>
          <w:sz w:val="26"/>
          <w:szCs w:val="26"/>
        </w:rPr>
      </w:pPr>
    </w:p>
    <w:p w14:paraId="4C0553FC" w14:textId="4E16B825" w:rsidR="00430DC0" w:rsidRPr="00440785" w:rsidRDefault="003F30F7" w:rsidP="003F327A">
      <w:pPr>
        <w:spacing w:line="480" w:lineRule="auto"/>
        <w:jc w:val="both"/>
        <w:rPr>
          <w:b/>
          <w:i/>
          <w:sz w:val="26"/>
          <w:szCs w:val="26"/>
        </w:rPr>
      </w:pPr>
      <w:r w:rsidRPr="00440785">
        <w:rPr>
          <w:b/>
          <w:i/>
          <w:sz w:val="26"/>
          <w:szCs w:val="26"/>
        </w:rPr>
        <w:t>3</w:t>
      </w:r>
      <w:r w:rsidR="003E0B8B" w:rsidRPr="00440785">
        <w:rPr>
          <w:b/>
          <w:i/>
          <w:sz w:val="26"/>
          <w:szCs w:val="26"/>
        </w:rPr>
        <w:t>.2</w:t>
      </w:r>
      <w:r w:rsidRPr="00440785">
        <w:rPr>
          <w:b/>
          <w:i/>
          <w:sz w:val="26"/>
          <w:szCs w:val="26"/>
        </w:rPr>
        <w:t>. Mô hình nghiên cứu</w:t>
      </w:r>
    </w:p>
    <w:p w14:paraId="0035F0AF" w14:textId="686129FB" w:rsidR="00670174" w:rsidRPr="00440785" w:rsidRDefault="003F30F7" w:rsidP="003F327A">
      <w:pPr>
        <w:pStyle w:val="MDPI31text"/>
        <w:spacing w:line="480" w:lineRule="auto"/>
        <w:ind w:firstLine="709"/>
        <w:rPr>
          <w:rFonts w:ascii="Times New Roman" w:hAnsi="Times New Roman"/>
          <w:sz w:val="26"/>
          <w:szCs w:val="26"/>
        </w:rPr>
      </w:pPr>
      <w:r w:rsidRPr="00440785">
        <w:rPr>
          <w:rFonts w:ascii="Times New Roman" w:hAnsi="Times New Roman"/>
          <w:sz w:val="26"/>
          <w:szCs w:val="26"/>
        </w:rPr>
        <w:t>Probit được áp dụng để xác định các yếu tố quyết định khả năng tiếp cận tín dụng ở cấp hộ gia đình. Khả năng tiếp cận tín dụng của hộ gia đình</w:t>
      </w:r>
      <w:r w:rsidR="00C544F5" w:rsidRPr="00440785">
        <w:rPr>
          <w:rFonts w:ascii="Times New Roman" w:hAnsi="Times New Roman"/>
          <w:sz w:val="26"/>
          <w:szCs w:val="26"/>
        </w:rPr>
        <w:t xml:space="preserve"> </w:t>
      </w:r>
      <w:r w:rsidRPr="00440785">
        <w:rPr>
          <w:rFonts w:ascii="Times New Roman" w:hAnsi="Times New Roman"/>
          <w:sz w:val="26"/>
          <w:szCs w:val="26"/>
        </w:rPr>
        <w:t>được cho là bị ảnh hưởng bởi một số đặc điểm của hộ gia đình như hai phương trình sau:</w:t>
      </w:r>
    </w:p>
    <w:p w14:paraId="03B77669" w14:textId="77777777" w:rsidR="00283337" w:rsidRPr="00440785" w:rsidRDefault="0064624D" w:rsidP="003F327A">
      <w:pPr>
        <w:pStyle w:val="MDPI31text"/>
        <w:spacing w:line="480" w:lineRule="auto"/>
        <w:ind w:firstLine="0"/>
        <w:contextualSpacing/>
        <w:jc w:val="center"/>
        <w:rPr>
          <w:rFonts w:ascii="Times New Roman" w:hAnsi="Times New Roman"/>
          <w:b/>
          <w:sz w:val="26"/>
          <w:szCs w:val="26"/>
        </w:rPr>
      </w:pPr>
      <m:oMath>
        <m:sSubSup>
          <m:sSubSupPr>
            <m:ctrlPr>
              <w:rPr>
                <w:rFonts w:ascii="Cambria Math" w:hAnsi="Cambria Math"/>
                <w:b/>
                <w:i/>
                <w:sz w:val="26"/>
                <w:szCs w:val="26"/>
              </w:rPr>
            </m:ctrlPr>
          </m:sSubSupPr>
          <m:e>
            <m:r>
              <m:rPr>
                <m:sty m:val="bi"/>
              </m:rPr>
              <w:rPr>
                <w:rFonts w:ascii="Cambria Math" w:hAnsi="Cambria Math"/>
                <w:sz w:val="26"/>
                <w:szCs w:val="26"/>
              </w:rPr>
              <m:t>Y</m:t>
            </m:r>
          </m:e>
          <m:sub>
            <m:r>
              <m:rPr>
                <m:sty m:val="bi"/>
              </m:rPr>
              <w:rPr>
                <w:rFonts w:ascii="Cambria Math" w:hAnsi="Cambria Math"/>
                <w:sz w:val="26"/>
                <w:szCs w:val="26"/>
              </w:rPr>
              <m:t>i</m:t>
            </m:r>
          </m:sub>
          <m:sup>
            <m:r>
              <m:rPr>
                <m:sty m:val="bi"/>
              </m:rPr>
              <w:rPr>
                <w:rFonts w:ascii="Cambria Math" w:hAnsi="Cambria Math"/>
                <w:sz w:val="26"/>
                <w:szCs w:val="26"/>
              </w:rPr>
              <m:t>*</m:t>
            </m:r>
          </m:sup>
        </m:sSubSup>
        <m:r>
          <m:rPr>
            <m:sty m:val="bi"/>
          </m:rPr>
          <w:rPr>
            <w:rFonts w:ascii="Cambria Math" w:hAnsi="Cambria Math"/>
            <w:sz w:val="26"/>
            <w:szCs w:val="26"/>
          </w:rPr>
          <m:t>=</m:t>
        </m:r>
        <m:sSub>
          <m:sSubPr>
            <m:ctrlPr>
              <w:rPr>
                <w:rFonts w:ascii="Cambria Math" w:hAnsi="Cambria Math"/>
                <w:b/>
                <w:i/>
                <w:sz w:val="26"/>
                <w:szCs w:val="26"/>
              </w:rPr>
            </m:ctrlPr>
          </m:sSubPr>
          <m:e>
            <m:r>
              <m:rPr>
                <m:sty m:val="bi"/>
              </m:rPr>
              <w:rPr>
                <w:rFonts w:ascii="Cambria Math" w:hAnsi="Cambria Math"/>
                <w:sz w:val="26"/>
                <w:szCs w:val="26"/>
              </w:rPr>
              <m:t>α</m:t>
            </m:r>
          </m:e>
          <m:sub>
            <m:r>
              <m:rPr>
                <m:sty m:val="bi"/>
              </m:rPr>
              <w:rPr>
                <w:rFonts w:ascii="Cambria Math" w:hAnsi="Cambria Math"/>
                <w:sz w:val="26"/>
                <w:szCs w:val="26"/>
              </w:rPr>
              <m:t>1</m:t>
            </m:r>
          </m:sub>
        </m:sSub>
        <m:r>
          <m:rPr>
            <m:sty m:val="bi"/>
          </m:rPr>
          <w:rPr>
            <w:rFonts w:ascii="Cambria Math" w:hAnsi="Cambria Math"/>
            <w:sz w:val="26"/>
            <w:szCs w:val="26"/>
          </w:rPr>
          <m:t>+</m:t>
        </m:r>
        <m:sSub>
          <m:sSubPr>
            <m:ctrlPr>
              <w:rPr>
                <w:rFonts w:ascii="Cambria Math" w:hAnsi="Cambria Math"/>
                <w:b/>
                <w:i/>
                <w:sz w:val="26"/>
                <w:szCs w:val="26"/>
              </w:rPr>
            </m:ctrlPr>
          </m:sSubPr>
          <m:e>
            <m:r>
              <m:rPr>
                <m:sty m:val="bi"/>
              </m:rPr>
              <w:rPr>
                <w:rFonts w:ascii="Cambria Math" w:hAnsi="Cambria Math"/>
                <w:sz w:val="26"/>
                <w:szCs w:val="26"/>
              </w:rPr>
              <m:t>β</m:t>
            </m:r>
          </m:e>
          <m:sub>
            <m:r>
              <m:rPr>
                <m:sty m:val="bi"/>
              </m:rPr>
              <w:rPr>
                <w:rFonts w:ascii="Cambria Math" w:hAnsi="Cambria Math"/>
                <w:sz w:val="26"/>
                <w:szCs w:val="26"/>
              </w:rPr>
              <m:t>1</m:t>
            </m:r>
          </m:sub>
        </m:sSub>
        <m:sSub>
          <m:sSubPr>
            <m:ctrlPr>
              <w:rPr>
                <w:rFonts w:ascii="Cambria Math" w:hAnsi="Cambria Math"/>
                <w:b/>
                <w:i/>
                <w:sz w:val="26"/>
                <w:szCs w:val="26"/>
              </w:rPr>
            </m:ctrlPr>
          </m:sSubPr>
          <m:e>
            <m:r>
              <m:rPr>
                <m:sty m:val="bi"/>
              </m:rPr>
              <w:rPr>
                <w:rFonts w:ascii="Cambria Math" w:hAnsi="Cambria Math"/>
                <w:sz w:val="26"/>
                <w:szCs w:val="26"/>
              </w:rPr>
              <m:t>X</m:t>
            </m:r>
          </m:e>
          <m:sub>
            <m:r>
              <m:rPr>
                <m:sty m:val="bi"/>
              </m:rPr>
              <w:rPr>
                <w:rFonts w:ascii="Cambria Math" w:hAnsi="Cambria Math"/>
                <w:sz w:val="26"/>
                <w:szCs w:val="26"/>
              </w:rPr>
              <m:t>i</m:t>
            </m:r>
          </m:sub>
        </m:sSub>
        <m:r>
          <m:rPr>
            <m:sty m:val="bi"/>
          </m:rPr>
          <w:rPr>
            <w:rFonts w:ascii="Cambria Math" w:hAnsi="Cambria Math"/>
            <w:sz w:val="26"/>
            <w:szCs w:val="26"/>
          </w:rPr>
          <m:t>+</m:t>
        </m:r>
        <m:sSub>
          <m:sSubPr>
            <m:ctrlPr>
              <w:rPr>
                <w:rFonts w:ascii="Cambria Math" w:hAnsi="Cambria Math"/>
                <w:b/>
                <w:i/>
                <w:sz w:val="26"/>
                <w:szCs w:val="26"/>
              </w:rPr>
            </m:ctrlPr>
          </m:sSubPr>
          <m:e>
            <m:r>
              <m:rPr>
                <m:sty m:val="bi"/>
              </m:rPr>
              <w:rPr>
                <w:rFonts w:ascii="Cambria Math" w:hAnsi="Cambria Math"/>
                <w:sz w:val="26"/>
                <w:szCs w:val="26"/>
              </w:rPr>
              <m:t>u</m:t>
            </m:r>
          </m:e>
          <m:sub>
            <m:r>
              <m:rPr>
                <m:sty m:val="bi"/>
              </m:rPr>
              <w:rPr>
                <w:rFonts w:ascii="Cambria Math" w:hAnsi="Cambria Math"/>
                <w:sz w:val="26"/>
                <w:szCs w:val="26"/>
              </w:rPr>
              <m:t>i</m:t>
            </m:r>
          </m:sub>
        </m:sSub>
        <m:r>
          <m:rPr>
            <m:sty m:val="bi"/>
          </m:rPr>
          <w:rPr>
            <w:rFonts w:ascii="Cambria Math" w:hAnsi="Cambria Math"/>
            <w:sz w:val="26"/>
            <w:szCs w:val="26"/>
          </w:rPr>
          <m:t xml:space="preserve"> </m:t>
        </m:r>
      </m:oMath>
      <w:r w:rsidR="00283337" w:rsidRPr="00440785">
        <w:rPr>
          <w:rFonts w:ascii="Times New Roman" w:hAnsi="Times New Roman"/>
          <w:sz w:val="26"/>
          <w:szCs w:val="26"/>
        </w:rPr>
        <w:t>(1)</w:t>
      </w:r>
    </w:p>
    <w:p w14:paraId="304652A4" w14:textId="4F821C2C" w:rsidR="00283337" w:rsidRPr="00440785" w:rsidRDefault="0064624D" w:rsidP="003F327A">
      <w:pPr>
        <w:pStyle w:val="MDPI31text"/>
        <w:spacing w:line="480" w:lineRule="auto"/>
        <w:ind w:firstLine="426"/>
        <w:contextualSpacing/>
        <w:rPr>
          <w:rFonts w:ascii="Times New Roman" w:hAnsi="Times New Roman"/>
          <w:sz w:val="26"/>
          <w:szCs w:val="26"/>
        </w:rPr>
      </w:pPr>
      <m:oMathPara>
        <m:oMath>
          <m:sSub>
            <m:sSubPr>
              <m:ctrlPr>
                <w:rPr>
                  <w:rFonts w:ascii="Cambria Math" w:hAnsi="Cambria Math"/>
                  <w:i/>
                  <w:sz w:val="26"/>
                  <w:szCs w:val="26"/>
                </w:rPr>
              </m:ctrlPr>
            </m:sSubPr>
            <m:e>
              <m:r>
                <w:rPr>
                  <w:rFonts w:ascii="Cambria Math" w:hAnsi="Cambria Math"/>
                  <w:sz w:val="26"/>
                  <w:szCs w:val="26"/>
                </w:rPr>
                <m:t>Y</m:t>
              </m:r>
            </m:e>
            <m:sub>
              <m:r>
                <w:rPr>
                  <w:rFonts w:ascii="Cambria Math" w:hAnsi="Cambria Math"/>
                  <w:sz w:val="26"/>
                  <w:szCs w:val="26"/>
                </w:rPr>
                <m:t>i</m:t>
              </m:r>
            </m:sub>
          </m:sSub>
          <m:r>
            <w:rPr>
              <w:rFonts w:ascii="Cambria Math" w:hAnsi="Cambria Math"/>
              <w:sz w:val="26"/>
              <w:szCs w:val="26"/>
            </w:rPr>
            <m:t>=1 if</m:t>
          </m:r>
          <m:sSubSup>
            <m:sSubSupPr>
              <m:ctrlPr>
                <w:rPr>
                  <w:rFonts w:ascii="Cambria Math" w:hAnsi="Cambria Math"/>
                  <w:i/>
                  <w:sz w:val="26"/>
                  <w:szCs w:val="26"/>
                </w:rPr>
              </m:ctrlPr>
            </m:sSubSupPr>
            <m:e>
              <m:r>
                <w:rPr>
                  <w:rFonts w:ascii="Cambria Math" w:hAnsi="Cambria Math"/>
                  <w:sz w:val="26"/>
                  <w:szCs w:val="26"/>
                </w:rPr>
                <m:t xml:space="preserve"> Y</m:t>
              </m:r>
            </m:e>
            <m:sub>
              <m:r>
                <w:rPr>
                  <w:rFonts w:ascii="Cambria Math" w:hAnsi="Cambria Math"/>
                  <w:sz w:val="26"/>
                  <w:szCs w:val="26"/>
                </w:rPr>
                <m:t>i</m:t>
              </m:r>
            </m:sub>
            <m:sup>
              <m:r>
                <w:rPr>
                  <w:rFonts w:ascii="Cambria Math" w:hAnsi="Cambria Math"/>
                  <w:sz w:val="26"/>
                  <w:szCs w:val="26"/>
                </w:rPr>
                <m:t>*</m:t>
              </m:r>
            </m:sup>
          </m:sSubSup>
          <m:r>
            <w:rPr>
              <w:rFonts w:ascii="Cambria Math" w:hAnsi="Cambria Math"/>
              <w:sz w:val="26"/>
              <w:szCs w:val="26"/>
            </w:rPr>
            <m:t>&gt;0</m:t>
          </m:r>
        </m:oMath>
      </m:oMathPara>
    </w:p>
    <w:p w14:paraId="4BC01D49" w14:textId="5CB5AC9A" w:rsidR="006F018A" w:rsidRPr="00440785" w:rsidRDefault="0064624D" w:rsidP="003F327A">
      <w:pPr>
        <w:pStyle w:val="MDPI31text"/>
        <w:spacing w:line="480" w:lineRule="auto"/>
        <w:ind w:firstLine="426"/>
        <w:contextualSpacing/>
        <w:rPr>
          <w:rFonts w:ascii="Times New Roman" w:hAnsi="Times New Roman"/>
          <w:sz w:val="26"/>
          <w:szCs w:val="26"/>
        </w:rPr>
      </w:pPr>
      <m:oMathPara>
        <m:oMath>
          <m:sSub>
            <m:sSubPr>
              <m:ctrlPr>
                <w:rPr>
                  <w:rFonts w:ascii="Cambria Math" w:hAnsi="Cambria Math"/>
                  <w:i/>
                  <w:sz w:val="26"/>
                  <w:szCs w:val="26"/>
                </w:rPr>
              </m:ctrlPr>
            </m:sSubPr>
            <m:e>
              <m:r>
                <w:rPr>
                  <w:rFonts w:ascii="Cambria Math" w:hAnsi="Cambria Math"/>
                  <w:sz w:val="26"/>
                  <w:szCs w:val="26"/>
                </w:rPr>
                <m:t>Y</m:t>
              </m:r>
            </m:e>
            <m:sub>
              <m:r>
                <w:rPr>
                  <w:rFonts w:ascii="Cambria Math" w:hAnsi="Cambria Math"/>
                  <w:sz w:val="26"/>
                  <w:szCs w:val="26"/>
                </w:rPr>
                <m:t>i</m:t>
              </m:r>
            </m:sub>
          </m:sSub>
          <m:r>
            <w:rPr>
              <w:rFonts w:ascii="Cambria Math" w:hAnsi="Cambria Math"/>
              <w:sz w:val="26"/>
              <w:szCs w:val="26"/>
            </w:rPr>
            <m:t>=0, otherwise</m:t>
          </m:r>
        </m:oMath>
      </m:oMathPara>
    </w:p>
    <w:p w14:paraId="0003AF17" w14:textId="752E8FE2" w:rsidR="003F30F7" w:rsidRPr="00440785" w:rsidRDefault="006C2A1C" w:rsidP="003F327A">
      <w:pPr>
        <w:spacing w:line="480" w:lineRule="auto"/>
        <w:ind w:firstLine="567"/>
        <w:jc w:val="both"/>
        <w:rPr>
          <w:sz w:val="26"/>
          <w:szCs w:val="26"/>
        </w:rPr>
      </w:pPr>
      <w:r w:rsidRPr="00440785">
        <w:rPr>
          <w:sz w:val="26"/>
          <w:szCs w:val="26"/>
        </w:rPr>
        <w:t xml:space="preserve">Trong phương trình (1) </w:t>
      </w:r>
      <m:oMath>
        <m:sSubSup>
          <m:sSubSupPr>
            <m:ctrlPr>
              <w:rPr>
                <w:rFonts w:ascii="Cambria Math" w:hAnsi="Cambria Math"/>
                <w:i/>
                <w:sz w:val="26"/>
                <w:szCs w:val="26"/>
              </w:rPr>
            </m:ctrlPr>
          </m:sSubSupPr>
          <m:e>
            <m:r>
              <w:rPr>
                <w:rFonts w:ascii="Cambria Math" w:hAnsi="Cambria Math"/>
                <w:sz w:val="26"/>
                <w:szCs w:val="26"/>
              </w:rPr>
              <m:t>Y</m:t>
            </m:r>
          </m:e>
          <m:sub>
            <m:r>
              <w:rPr>
                <w:rFonts w:ascii="Cambria Math" w:hAnsi="Cambria Math"/>
                <w:sz w:val="26"/>
                <w:szCs w:val="26"/>
              </w:rPr>
              <m:t>i</m:t>
            </m:r>
          </m:sub>
          <m:sup>
            <m:r>
              <w:rPr>
                <w:rFonts w:ascii="Cambria Math" w:hAnsi="Cambria Math"/>
                <w:sz w:val="26"/>
                <w:szCs w:val="26"/>
              </w:rPr>
              <m:t>*</m:t>
            </m:r>
          </m:sup>
        </m:sSubSup>
        <m:r>
          <m:rPr>
            <m:sty m:val="p"/>
          </m:rPr>
          <w:rPr>
            <w:rFonts w:ascii="Cambria Math" w:hAnsi="Cambria Math"/>
            <w:sz w:val="26"/>
            <w:szCs w:val="26"/>
          </w:rPr>
          <m:t>=1</m:t>
        </m:r>
      </m:oMath>
      <w:r w:rsidR="003F30F7" w:rsidRPr="00440785">
        <w:rPr>
          <w:sz w:val="26"/>
          <w:szCs w:val="26"/>
        </w:rPr>
        <w:t xml:space="preserve"> nếu hộ gia đình có tiếp cận tín dụ</w:t>
      </w:r>
      <w:r w:rsidR="00C544F5" w:rsidRPr="00440785">
        <w:rPr>
          <w:sz w:val="26"/>
          <w:szCs w:val="26"/>
        </w:rPr>
        <w:t xml:space="preserve">ng từ </w:t>
      </w:r>
      <w:r w:rsidR="003F30F7" w:rsidRPr="00440785">
        <w:rPr>
          <w:sz w:val="26"/>
          <w:szCs w:val="26"/>
        </w:rPr>
        <w:t>nguồn chính thứ</w:t>
      </w:r>
      <w:r w:rsidR="00C544F5" w:rsidRPr="00440785">
        <w:rPr>
          <w:sz w:val="26"/>
          <w:szCs w:val="26"/>
        </w:rPr>
        <w:t xml:space="preserve">c </w:t>
      </w:r>
      <w:r w:rsidR="003F30F7" w:rsidRPr="00440785">
        <w:rPr>
          <w:sz w:val="26"/>
          <w:szCs w:val="26"/>
        </w:rPr>
        <w:t xml:space="preserve">và 0 nếu không, </w:t>
      </w:r>
      <m:oMath>
        <m:sSub>
          <m:sSubPr>
            <m:ctrlPr>
              <w:rPr>
                <w:rFonts w:ascii="Cambria Math" w:hAnsi="Cambria Math"/>
                <w:i/>
                <w:sz w:val="26"/>
                <w:szCs w:val="26"/>
              </w:rPr>
            </m:ctrlPr>
          </m:sSubPr>
          <m:e>
            <m:r>
              <w:rPr>
                <w:rFonts w:ascii="Cambria Math" w:hAnsi="Cambria Math"/>
                <w:sz w:val="26"/>
                <w:szCs w:val="26"/>
              </w:rPr>
              <m:t>X</m:t>
            </m:r>
          </m:e>
          <m:sub>
            <m:r>
              <w:rPr>
                <w:rFonts w:ascii="Cambria Math" w:hAnsi="Cambria Math"/>
                <w:sz w:val="26"/>
                <w:szCs w:val="26"/>
              </w:rPr>
              <m:t>i</m:t>
            </m:r>
          </m:sub>
        </m:sSub>
      </m:oMath>
      <w:r w:rsidR="001F7149" w:rsidRPr="00440785">
        <w:rPr>
          <w:sz w:val="26"/>
          <w:szCs w:val="26"/>
        </w:rPr>
        <w:t xml:space="preserve"> là các </w:t>
      </w:r>
      <w:r w:rsidR="003F30F7" w:rsidRPr="00440785">
        <w:rPr>
          <w:sz w:val="26"/>
          <w:szCs w:val="26"/>
        </w:rPr>
        <w:t>điểm kinh tế xã hội của hộ gia đình, thu nhập, tín dụng và các yếu tố sản xuất, như thể hiện trong bảng 1</w:t>
      </w:r>
      <w:r w:rsidR="001F7149" w:rsidRPr="00440785">
        <w:rPr>
          <w:sz w:val="26"/>
          <w:szCs w:val="26"/>
        </w:rPr>
        <w:t xml:space="preserve">. </w:t>
      </w:r>
    </w:p>
    <w:p w14:paraId="0373BF72" w14:textId="0053B844" w:rsidR="00430DC0" w:rsidRDefault="00982BEE" w:rsidP="003F327A">
      <w:pPr>
        <w:spacing w:line="480" w:lineRule="auto"/>
        <w:jc w:val="both"/>
        <w:rPr>
          <w:b/>
          <w:sz w:val="26"/>
          <w:szCs w:val="26"/>
        </w:rPr>
      </w:pPr>
      <w:r>
        <w:rPr>
          <w:b/>
          <w:sz w:val="26"/>
          <w:szCs w:val="26"/>
        </w:rPr>
        <w:t>4</w:t>
      </w:r>
      <w:r w:rsidR="003F30F7" w:rsidRPr="00440785">
        <w:rPr>
          <w:b/>
          <w:sz w:val="26"/>
          <w:szCs w:val="26"/>
        </w:rPr>
        <w:t>. Kết quả và thảo luận</w:t>
      </w:r>
    </w:p>
    <w:p w14:paraId="075C8A14" w14:textId="3323079D" w:rsidR="00C4343F" w:rsidRPr="00634158" w:rsidRDefault="00982BEE" w:rsidP="003F327A">
      <w:pPr>
        <w:spacing w:line="480" w:lineRule="auto"/>
        <w:jc w:val="both"/>
        <w:rPr>
          <w:b/>
          <w:i/>
          <w:sz w:val="26"/>
          <w:szCs w:val="26"/>
        </w:rPr>
      </w:pPr>
      <w:r>
        <w:rPr>
          <w:b/>
          <w:i/>
          <w:sz w:val="26"/>
          <w:szCs w:val="26"/>
        </w:rPr>
        <w:t>4</w:t>
      </w:r>
      <w:r w:rsidR="00FF7E90" w:rsidRPr="00440785">
        <w:rPr>
          <w:b/>
          <w:i/>
          <w:sz w:val="26"/>
          <w:szCs w:val="26"/>
        </w:rPr>
        <w:t>.</w:t>
      </w:r>
      <w:r w:rsidR="009D4F7D">
        <w:rPr>
          <w:b/>
          <w:i/>
          <w:sz w:val="26"/>
          <w:szCs w:val="26"/>
        </w:rPr>
        <w:t>1. Các nguồn vay chính thức của hộ nghèo</w:t>
      </w:r>
    </w:p>
    <w:p w14:paraId="186777B7" w14:textId="283A003A" w:rsidR="00C4343F" w:rsidRDefault="00634158" w:rsidP="003F327A">
      <w:pPr>
        <w:spacing w:line="480" w:lineRule="auto"/>
        <w:jc w:val="center"/>
        <w:rPr>
          <w:b/>
          <w:i/>
          <w:sz w:val="26"/>
          <w:szCs w:val="26"/>
        </w:rPr>
      </w:pPr>
      <w:r w:rsidRPr="00440785">
        <w:rPr>
          <w:sz w:val="26"/>
          <w:szCs w:val="26"/>
        </w:rPr>
        <w:t xml:space="preserve">Bảng 2. </w:t>
      </w:r>
      <w:r>
        <w:rPr>
          <w:sz w:val="26"/>
          <w:szCs w:val="26"/>
        </w:rPr>
        <w:t>Số lượng hộ vay từ nguồn chính thức</w:t>
      </w:r>
    </w:p>
    <w:tbl>
      <w:tblPr>
        <w:tblStyle w:val="PlainTable2"/>
        <w:tblpPr w:leftFromText="180" w:rightFromText="180" w:vertAnchor="text" w:horzAnchor="page" w:tblpXSpec="center" w:tblpY="148"/>
        <w:tblW w:w="6303" w:type="dxa"/>
        <w:tblLook w:val="04A0" w:firstRow="1" w:lastRow="0" w:firstColumn="1" w:lastColumn="0" w:noHBand="0" w:noVBand="1"/>
      </w:tblPr>
      <w:tblGrid>
        <w:gridCol w:w="3759"/>
        <w:gridCol w:w="1272"/>
        <w:gridCol w:w="1272"/>
      </w:tblGrid>
      <w:tr w:rsidR="003F327A" w:rsidRPr="00C4343F" w14:paraId="4FA8A5B9" w14:textId="77777777" w:rsidTr="0011213D">
        <w:trPr>
          <w:cnfStyle w:val="100000000000" w:firstRow="1" w:lastRow="0" w:firstColumn="0" w:lastColumn="0" w:oddVBand="0" w:evenVBand="0" w:oddHBand="0"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3759" w:type="dxa"/>
            <w:noWrap/>
            <w:hideMark/>
          </w:tcPr>
          <w:p w14:paraId="04041BF9" w14:textId="77777777" w:rsidR="003F327A" w:rsidRPr="00C4343F" w:rsidRDefault="003F327A" w:rsidP="0011213D">
            <w:pPr>
              <w:spacing w:line="360" w:lineRule="auto"/>
              <w:rPr>
                <w:rFonts w:eastAsia="Times New Roman"/>
                <w:color w:val="000000"/>
                <w:sz w:val="26"/>
                <w:szCs w:val="26"/>
              </w:rPr>
            </w:pPr>
            <w:r w:rsidRPr="00C4343F">
              <w:rPr>
                <w:rFonts w:eastAsia="Times New Roman"/>
                <w:color w:val="000000"/>
                <w:sz w:val="26"/>
                <w:szCs w:val="26"/>
              </w:rPr>
              <w:t> </w:t>
            </w:r>
          </w:p>
        </w:tc>
        <w:tc>
          <w:tcPr>
            <w:tcW w:w="1272" w:type="dxa"/>
            <w:noWrap/>
            <w:vAlign w:val="center"/>
            <w:hideMark/>
          </w:tcPr>
          <w:p w14:paraId="2CB1C3B9" w14:textId="77777777" w:rsidR="003F327A" w:rsidRPr="00E356C9" w:rsidRDefault="003F327A" w:rsidP="0011213D">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b w:val="0"/>
                <w:color w:val="000000"/>
                <w:sz w:val="26"/>
                <w:szCs w:val="26"/>
              </w:rPr>
            </w:pPr>
            <w:r w:rsidRPr="00E356C9">
              <w:rPr>
                <w:rFonts w:eastAsia="Times New Roman"/>
                <w:b w:val="0"/>
                <w:color w:val="000000"/>
                <w:sz w:val="26"/>
                <w:szCs w:val="26"/>
              </w:rPr>
              <w:t>Tần suất</w:t>
            </w:r>
          </w:p>
        </w:tc>
        <w:tc>
          <w:tcPr>
            <w:tcW w:w="1272" w:type="dxa"/>
            <w:noWrap/>
            <w:vAlign w:val="center"/>
            <w:hideMark/>
          </w:tcPr>
          <w:p w14:paraId="3AAE66C0" w14:textId="77777777" w:rsidR="003F327A" w:rsidRPr="00E356C9" w:rsidRDefault="003F327A" w:rsidP="0011213D">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b w:val="0"/>
                <w:color w:val="000000"/>
                <w:sz w:val="26"/>
                <w:szCs w:val="26"/>
              </w:rPr>
            </w:pPr>
            <w:r w:rsidRPr="00E356C9">
              <w:rPr>
                <w:rFonts w:eastAsia="Times New Roman"/>
                <w:b w:val="0"/>
                <w:color w:val="000000"/>
                <w:sz w:val="26"/>
                <w:szCs w:val="26"/>
              </w:rPr>
              <w:t>Tần số</w:t>
            </w:r>
          </w:p>
        </w:tc>
      </w:tr>
      <w:tr w:rsidR="003F327A" w:rsidRPr="00C4343F" w14:paraId="7549723A" w14:textId="77777777" w:rsidTr="0011213D">
        <w:trPr>
          <w:cnfStyle w:val="000000100000" w:firstRow="0" w:lastRow="0" w:firstColumn="0" w:lastColumn="0" w:oddVBand="0" w:evenVBand="0" w:oddHBand="1"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3759" w:type="dxa"/>
            <w:noWrap/>
            <w:hideMark/>
          </w:tcPr>
          <w:p w14:paraId="13EA791C" w14:textId="77777777" w:rsidR="003F327A" w:rsidRPr="00E356C9" w:rsidRDefault="003F327A" w:rsidP="0011213D">
            <w:pPr>
              <w:spacing w:line="360" w:lineRule="auto"/>
              <w:rPr>
                <w:rFonts w:eastAsia="Times New Roman"/>
                <w:b w:val="0"/>
                <w:color w:val="000000"/>
                <w:sz w:val="26"/>
                <w:szCs w:val="26"/>
              </w:rPr>
            </w:pPr>
            <w:r w:rsidRPr="00E356C9">
              <w:rPr>
                <w:rFonts w:eastAsia="Times New Roman"/>
                <w:b w:val="0"/>
                <w:color w:val="000000"/>
                <w:sz w:val="26"/>
                <w:szCs w:val="26"/>
              </w:rPr>
              <w:t>Vay chính thức</w:t>
            </w:r>
          </w:p>
        </w:tc>
        <w:tc>
          <w:tcPr>
            <w:tcW w:w="1272" w:type="dxa"/>
            <w:noWrap/>
            <w:vAlign w:val="center"/>
            <w:hideMark/>
          </w:tcPr>
          <w:p w14:paraId="2534E4EA" w14:textId="77777777" w:rsidR="003F327A" w:rsidRPr="00C4343F" w:rsidRDefault="003F327A" w:rsidP="0011213D">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6"/>
                <w:szCs w:val="26"/>
              </w:rPr>
            </w:pPr>
            <w:r w:rsidRPr="00C4343F">
              <w:rPr>
                <w:rFonts w:eastAsia="Times New Roman"/>
                <w:color w:val="000000"/>
                <w:sz w:val="26"/>
                <w:szCs w:val="26"/>
              </w:rPr>
              <w:t>172</w:t>
            </w:r>
          </w:p>
        </w:tc>
        <w:tc>
          <w:tcPr>
            <w:tcW w:w="1272" w:type="dxa"/>
            <w:noWrap/>
            <w:vAlign w:val="center"/>
            <w:hideMark/>
          </w:tcPr>
          <w:p w14:paraId="793EB241" w14:textId="77777777" w:rsidR="003F327A" w:rsidRPr="00C4343F" w:rsidRDefault="003F327A" w:rsidP="0011213D">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6"/>
                <w:szCs w:val="26"/>
              </w:rPr>
            </w:pPr>
            <w:r w:rsidRPr="00C4343F">
              <w:rPr>
                <w:rFonts w:eastAsia="Times New Roman"/>
                <w:color w:val="000000"/>
                <w:sz w:val="26"/>
                <w:szCs w:val="26"/>
              </w:rPr>
              <w:t>72.57</w:t>
            </w:r>
          </w:p>
        </w:tc>
      </w:tr>
      <w:tr w:rsidR="003F327A" w:rsidRPr="00C4343F" w14:paraId="72DB21E9" w14:textId="77777777" w:rsidTr="0011213D">
        <w:trPr>
          <w:trHeight w:val="223"/>
        </w:trPr>
        <w:tc>
          <w:tcPr>
            <w:cnfStyle w:val="001000000000" w:firstRow="0" w:lastRow="0" w:firstColumn="1" w:lastColumn="0" w:oddVBand="0" w:evenVBand="0" w:oddHBand="0" w:evenHBand="0" w:firstRowFirstColumn="0" w:firstRowLastColumn="0" w:lastRowFirstColumn="0" w:lastRowLastColumn="0"/>
            <w:tcW w:w="3759" w:type="dxa"/>
            <w:noWrap/>
            <w:hideMark/>
          </w:tcPr>
          <w:p w14:paraId="1DB01CC6" w14:textId="77777777" w:rsidR="003F327A" w:rsidRPr="00E356C9" w:rsidRDefault="003F327A" w:rsidP="0011213D">
            <w:pPr>
              <w:spacing w:line="360" w:lineRule="auto"/>
              <w:rPr>
                <w:rFonts w:eastAsia="Times New Roman"/>
                <w:b w:val="0"/>
                <w:color w:val="000000"/>
                <w:sz w:val="26"/>
                <w:szCs w:val="26"/>
              </w:rPr>
            </w:pPr>
            <w:r w:rsidRPr="00E356C9">
              <w:rPr>
                <w:rFonts w:eastAsia="Times New Roman"/>
                <w:b w:val="0"/>
                <w:color w:val="000000"/>
                <w:sz w:val="26"/>
                <w:szCs w:val="26"/>
              </w:rPr>
              <w:t>Vay phi chính thức</w:t>
            </w:r>
          </w:p>
        </w:tc>
        <w:tc>
          <w:tcPr>
            <w:tcW w:w="1272" w:type="dxa"/>
            <w:noWrap/>
            <w:vAlign w:val="center"/>
            <w:hideMark/>
          </w:tcPr>
          <w:p w14:paraId="084C9B98" w14:textId="77777777" w:rsidR="003F327A" w:rsidRPr="00C4343F" w:rsidRDefault="003F327A" w:rsidP="0011213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6"/>
                <w:szCs w:val="26"/>
              </w:rPr>
            </w:pPr>
            <w:r w:rsidRPr="00C4343F">
              <w:rPr>
                <w:rFonts w:eastAsia="Times New Roman"/>
                <w:color w:val="000000"/>
                <w:sz w:val="26"/>
                <w:szCs w:val="26"/>
              </w:rPr>
              <w:t>65</w:t>
            </w:r>
          </w:p>
        </w:tc>
        <w:tc>
          <w:tcPr>
            <w:tcW w:w="1272" w:type="dxa"/>
            <w:noWrap/>
            <w:vAlign w:val="center"/>
            <w:hideMark/>
          </w:tcPr>
          <w:p w14:paraId="7DF9CA84" w14:textId="77777777" w:rsidR="003F327A" w:rsidRPr="00C4343F" w:rsidRDefault="003F327A" w:rsidP="0011213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6"/>
                <w:szCs w:val="26"/>
              </w:rPr>
            </w:pPr>
            <w:r w:rsidRPr="00C4343F">
              <w:rPr>
                <w:rFonts w:eastAsia="Times New Roman"/>
                <w:color w:val="000000"/>
                <w:sz w:val="26"/>
                <w:szCs w:val="26"/>
              </w:rPr>
              <w:t>27.43</w:t>
            </w:r>
          </w:p>
        </w:tc>
      </w:tr>
      <w:tr w:rsidR="003F327A" w:rsidRPr="00C4343F" w14:paraId="44AE00DC" w14:textId="77777777" w:rsidTr="0011213D">
        <w:trPr>
          <w:cnfStyle w:val="000000100000" w:firstRow="0" w:lastRow="0" w:firstColumn="0" w:lastColumn="0" w:oddVBand="0" w:evenVBand="0" w:oddHBand="1"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3759" w:type="dxa"/>
            <w:noWrap/>
            <w:hideMark/>
          </w:tcPr>
          <w:p w14:paraId="5BB0E081" w14:textId="77777777" w:rsidR="003F327A" w:rsidRPr="00E356C9" w:rsidRDefault="003F327A" w:rsidP="0011213D">
            <w:pPr>
              <w:spacing w:line="360" w:lineRule="auto"/>
              <w:rPr>
                <w:rFonts w:eastAsia="Times New Roman"/>
                <w:b w:val="0"/>
                <w:color w:val="000000"/>
                <w:sz w:val="26"/>
                <w:szCs w:val="26"/>
              </w:rPr>
            </w:pPr>
            <w:r w:rsidRPr="00E356C9">
              <w:rPr>
                <w:rFonts w:eastAsia="Times New Roman"/>
                <w:b w:val="0"/>
                <w:color w:val="000000"/>
                <w:sz w:val="26"/>
                <w:szCs w:val="26"/>
              </w:rPr>
              <w:t>Tổng số</w:t>
            </w:r>
          </w:p>
        </w:tc>
        <w:tc>
          <w:tcPr>
            <w:tcW w:w="1272" w:type="dxa"/>
            <w:noWrap/>
            <w:vAlign w:val="center"/>
            <w:hideMark/>
          </w:tcPr>
          <w:p w14:paraId="2BA18E41" w14:textId="77777777" w:rsidR="003F327A" w:rsidRPr="00C4343F" w:rsidRDefault="003F327A" w:rsidP="0011213D">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6"/>
                <w:szCs w:val="26"/>
              </w:rPr>
            </w:pPr>
            <w:r w:rsidRPr="00C4343F">
              <w:rPr>
                <w:rFonts w:eastAsia="Times New Roman"/>
                <w:color w:val="000000"/>
                <w:sz w:val="26"/>
                <w:szCs w:val="26"/>
              </w:rPr>
              <w:t>237</w:t>
            </w:r>
          </w:p>
        </w:tc>
        <w:tc>
          <w:tcPr>
            <w:tcW w:w="1272" w:type="dxa"/>
            <w:noWrap/>
            <w:vAlign w:val="center"/>
            <w:hideMark/>
          </w:tcPr>
          <w:p w14:paraId="6FDB21D6" w14:textId="77777777" w:rsidR="003F327A" w:rsidRPr="00C4343F" w:rsidRDefault="003F327A" w:rsidP="0011213D">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6"/>
                <w:szCs w:val="26"/>
              </w:rPr>
            </w:pPr>
            <w:r w:rsidRPr="00C4343F">
              <w:rPr>
                <w:rFonts w:eastAsia="Times New Roman"/>
                <w:color w:val="000000"/>
                <w:sz w:val="26"/>
                <w:szCs w:val="26"/>
              </w:rPr>
              <w:t>100</w:t>
            </w:r>
            <w:r>
              <w:rPr>
                <w:rFonts w:eastAsia="Times New Roman"/>
                <w:color w:val="000000"/>
                <w:sz w:val="26"/>
                <w:szCs w:val="26"/>
              </w:rPr>
              <w:t>%</w:t>
            </w:r>
          </w:p>
        </w:tc>
      </w:tr>
    </w:tbl>
    <w:p w14:paraId="4E6AF0AC" w14:textId="77777777" w:rsidR="00EE1EA9" w:rsidRDefault="00EE1EA9" w:rsidP="003F327A">
      <w:pPr>
        <w:spacing w:line="480" w:lineRule="auto"/>
        <w:jc w:val="both"/>
        <w:rPr>
          <w:b/>
          <w:i/>
          <w:sz w:val="26"/>
          <w:szCs w:val="26"/>
        </w:rPr>
      </w:pPr>
    </w:p>
    <w:p w14:paraId="76861240" w14:textId="77777777" w:rsidR="00634158" w:rsidRDefault="00634158" w:rsidP="003F327A">
      <w:pPr>
        <w:spacing w:line="480" w:lineRule="auto"/>
        <w:jc w:val="both"/>
        <w:rPr>
          <w:b/>
          <w:i/>
          <w:sz w:val="26"/>
          <w:szCs w:val="26"/>
        </w:rPr>
      </w:pPr>
    </w:p>
    <w:p w14:paraId="0F9B54F6" w14:textId="77777777" w:rsidR="00634158" w:rsidRDefault="00634158" w:rsidP="003F327A">
      <w:pPr>
        <w:spacing w:line="480" w:lineRule="auto"/>
        <w:jc w:val="both"/>
        <w:rPr>
          <w:sz w:val="26"/>
          <w:szCs w:val="26"/>
        </w:rPr>
      </w:pPr>
    </w:p>
    <w:p w14:paraId="75434BB9" w14:textId="4681A2EC" w:rsidR="00E356C9" w:rsidRDefault="00634158" w:rsidP="003F327A">
      <w:pPr>
        <w:spacing w:line="480" w:lineRule="auto"/>
        <w:ind w:left="2880" w:firstLine="720"/>
        <w:jc w:val="both"/>
        <w:rPr>
          <w:sz w:val="26"/>
          <w:szCs w:val="26"/>
        </w:rPr>
      </w:pPr>
      <w:r>
        <w:rPr>
          <w:sz w:val="26"/>
          <w:szCs w:val="26"/>
        </w:rPr>
        <w:t>Nguồn</w:t>
      </w:r>
      <w:r w:rsidRPr="00440785">
        <w:rPr>
          <w:sz w:val="26"/>
          <w:szCs w:val="26"/>
        </w:rPr>
        <w:t>: Tính toán của tác giả từ bộ dữ liệu VHLSS</w:t>
      </w:r>
    </w:p>
    <w:p w14:paraId="4897B6DE" w14:textId="3C440871" w:rsidR="00EE1EA9" w:rsidRDefault="00E356C9" w:rsidP="003F327A">
      <w:pPr>
        <w:spacing w:line="480" w:lineRule="auto"/>
        <w:ind w:firstLine="567"/>
        <w:jc w:val="both"/>
        <w:rPr>
          <w:sz w:val="26"/>
          <w:szCs w:val="26"/>
        </w:rPr>
      </w:pPr>
      <w:r>
        <w:rPr>
          <w:sz w:val="26"/>
          <w:szCs w:val="26"/>
        </w:rPr>
        <w:t>Bảng 2 và bảng 3 miêu tả số lượng mẫu nghiên cứu và nguồn vay chính thức. Trong 237 quan sát, tỷ lệ vay chính thức là 72.57%</w:t>
      </w:r>
      <w:r w:rsidR="00634158">
        <w:rPr>
          <w:sz w:val="26"/>
          <w:szCs w:val="26"/>
        </w:rPr>
        <w:t>. Trong các nguồn vay chính thức, số lượng người vay từ ngân hàng chính sách xã hội chiếm tỷ trong lớn nhất với 83.72%, theo sau đó là ngân hàng nông nghiệp và phát triển nông thôn. Ngân hàng chính sách được biết đến là ngân hàng chuyên cho vay đối với những hộ nghèo và cận nghèo không cần tài sản thế chấp. Ngân hàng nông nghiệp và phát triển nông thôn cũng cung cấp các khoản vay vi mô dành cho hộ nghèo và cận nghèo, tuy nhiên với đa số các khoản vay đều đòi hỏi tài sản thế chấp.</w:t>
      </w:r>
    </w:p>
    <w:p w14:paraId="50A9CF3C" w14:textId="77777777" w:rsidR="0011213D" w:rsidRDefault="0011213D" w:rsidP="003F327A">
      <w:pPr>
        <w:spacing w:line="480" w:lineRule="auto"/>
        <w:ind w:firstLine="567"/>
        <w:jc w:val="both"/>
        <w:rPr>
          <w:b/>
          <w:i/>
          <w:sz w:val="26"/>
          <w:szCs w:val="26"/>
        </w:rPr>
      </w:pPr>
    </w:p>
    <w:p w14:paraId="3B702CE7" w14:textId="77777777" w:rsidR="0011213D" w:rsidRDefault="0011213D" w:rsidP="003F327A">
      <w:pPr>
        <w:spacing w:line="480" w:lineRule="auto"/>
        <w:ind w:firstLine="567"/>
        <w:jc w:val="both"/>
        <w:rPr>
          <w:b/>
          <w:i/>
          <w:sz w:val="26"/>
          <w:szCs w:val="26"/>
        </w:rPr>
      </w:pPr>
    </w:p>
    <w:p w14:paraId="00E8EA6A" w14:textId="61F49631" w:rsidR="00634158" w:rsidRPr="00440785" w:rsidRDefault="0011213D" w:rsidP="003F327A">
      <w:pPr>
        <w:spacing w:line="480" w:lineRule="auto"/>
        <w:ind w:firstLine="709"/>
        <w:jc w:val="center"/>
        <w:rPr>
          <w:sz w:val="26"/>
          <w:szCs w:val="26"/>
        </w:rPr>
      </w:pPr>
      <w:r w:rsidRPr="00440785">
        <w:rPr>
          <w:sz w:val="26"/>
          <w:szCs w:val="26"/>
        </w:rPr>
        <w:lastRenderedPageBreak/>
        <w:t>Bảng</w:t>
      </w:r>
      <w:r>
        <w:rPr>
          <w:sz w:val="26"/>
          <w:szCs w:val="26"/>
        </w:rPr>
        <w:t xml:space="preserve"> 3</w:t>
      </w:r>
      <w:r w:rsidRPr="00440785">
        <w:rPr>
          <w:sz w:val="26"/>
          <w:szCs w:val="26"/>
        </w:rPr>
        <w:t xml:space="preserve">. </w:t>
      </w:r>
      <w:r>
        <w:rPr>
          <w:sz w:val="26"/>
          <w:szCs w:val="26"/>
        </w:rPr>
        <w:t>Các nguồn vay chính thức</w:t>
      </w:r>
    </w:p>
    <w:tbl>
      <w:tblPr>
        <w:tblStyle w:val="PlainTable2"/>
        <w:tblpPr w:leftFromText="180" w:rightFromText="180" w:vertAnchor="page" w:horzAnchor="page" w:tblpX="2530" w:tblpY="1985"/>
        <w:tblW w:w="7569" w:type="dxa"/>
        <w:tblLook w:val="04A0" w:firstRow="1" w:lastRow="0" w:firstColumn="1" w:lastColumn="0" w:noHBand="0" w:noVBand="1"/>
      </w:tblPr>
      <w:tblGrid>
        <w:gridCol w:w="4511"/>
        <w:gridCol w:w="1529"/>
        <w:gridCol w:w="1529"/>
      </w:tblGrid>
      <w:tr w:rsidR="0011213D" w:rsidRPr="00C4343F" w14:paraId="072BD2BD" w14:textId="77777777" w:rsidTr="0011213D">
        <w:trPr>
          <w:cnfStyle w:val="100000000000" w:firstRow="1" w:lastRow="0" w:firstColumn="0" w:lastColumn="0" w:oddVBand="0" w:evenVBand="0" w:oddHBand="0"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4511" w:type="dxa"/>
            <w:noWrap/>
            <w:hideMark/>
          </w:tcPr>
          <w:p w14:paraId="67F46A33" w14:textId="77777777" w:rsidR="0011213D" w:rsidRPr="00C4343F" w:rsidRDefault="0011213D" w:rsidP="0011213D">
            <w:pPr>
              <w:spacing w:line="360" w:lineRule="auto"/>
              <w:rPr>
                <w:rFonts w:eastAsia="Times New Roman"/>
                <w:color w:val="000000"/>
                <w:sz w:val="26"/>
                <w:szCs w:val="26"/>
              </w:rPr>
            </w:pPr>
            <w:r w:rsidRPr="00C4343F">
              <w:rPr>
                <w:rFonts w:eastAsia="Times New Roman"/>
                <w:color w:val="000000"/>
                <w:sz w:val="26"/>
                <w:szCs w:val="26"/>
              </w:rPr>
              <w:t> </w:t>
            </w:r>
          </w:p>
        </w:tc>
        <w:tc>
          <w:tcPr>
            <w:tcW w:w="1529" w:type="dxa"/>
            <w:noWrap/>
            <w:vAlign w:val="center"/>
            <w:hideMark/>
          </w:tcPr>
          <w:p w14:paraId="269B10C7" w14:textId="77777777" w:rsidR="0011213D" w:rsidRPr="00634158" w:rsidRDefault="0011213D" w:rsidP="0011213D">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b w:val="0"/>
                <w:color w:val="000000"/>
                <w:sz w:val="26"/>
                <w:szCs w:val="26"/>
              </w:rPr>
            </w:pPr>
            <w:r w:rsidRPr="00634158">
              <w:rPr>
                <w:rFonts w:eastAsia="Times New Roman"/>
                <w:b w:val="0"/>
                <w:color w:val="000000"/>
                <w:sz w:val="26"/>
                <w:szCs w:val="26"/>
              </w:rPr>
              <w:t>Tần suất</w:t>
            </w:r>
          </w:p>
        </w:tc>
        <w:tc>
          <w:tcPr>
            <w:tcW w:w="1529" w:type="dxa"/>
            <w:noWrap/>
            <w:vAlign w:val="center"/>
            <w:hideMark/>
          </w:tcPr>
          <w:p w14:paraId="25DF6B80" w14:textId="77777777" w:rsidR="0011213D" w:rsidRPr="00634158" w:rsidRDefault="0011213D" w:rsidP="0011213D">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b w:val="0"/>
                <w:color w:val="000000"/>
                <w:sz w:val="26"/>
                <w:szCs w:val="26"/>
              </w:rPr>
            </w:pPr>
            <w:r w:rsidRPr="00634158">
              <w:rPr>
                <w:rFonts w:eastAsia="Times New Roman"/>
                <w:b w:val="0"/>
                <w:color w:val="000000"/>
                <w:sz w:val="26"/>
                <w:szCs w:val="26"/>
              </w:rPr>
              <w:t>Tần số</w:t>
            </w:r>
          </w:p>
        </w:tc>
      </w:tr>
      <w:tr w:rsidR="0011213D" w:rsidRPr="00C4343F" w14:paraId="44D8D340" w14:textId="77777777" w:rsidTr="0011213D">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4511" w:type="dxa"/>
            <w:noWrap/>
            <w:hideMark/>
          </w:tcPr>
          <w:p w14:paraId="374049D8" w14:textId="77777777" w:rsidR="0011213D" w:rsidRPr="00634158" w:rsidRDefault="0011213D" w:rsidP="0011213D">
            <w:pPr>
              <w:spacing w:line="360" w:lineRule="auto"/>
              <w:rPr>
                <w:rFonts w:eastAsia="Times New Roman"/>
                <w:b w:val="0"/>
                <w:color w:val="000000"/>
                <w:sz w:val="26"/>
                <w:szCs w:val="26"/>
              </w:rPr>
            </w:pPr>
            <w:r w:rsidRPr="00634158">
              <w:rPr>
                <w:rFonts w:eastAsia="Times New Roman"/>
                <w:b w:val="0"/>
                <w:color w:val="000000"/>
                <w:sz w:val="26"/>
                <w:szCs w:val="26"/>
              </w:rPr>
              <w:t>Ngân hàng chính sách xã hội</w:t>
            </w:r>
          </w:p>
        </w:tc>
        <w:tc>
          <w:tcPr>
            <w:tcW w:w="1529" w:type="dxa"/>
            <w:noWrap/>
            <w:vAlign w:val="center"/>
            <w:hideMark/>
          </w:tcPr>
          <w:p w14:paraId="385DAB40" w14:textId="77777777" w:rsidR="0011213D" w:rsidRPr="00C4343F" w:rsidRDefault="0011213D" w:rsidP="0011213D">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6"/>
                <w:szCs w:val="26"/>
              </w:rPr>
            </w:pPr>
            <w:r w:rsidRPr="00C4343F">
              <w:rPr>
                <w:rFonts w:eastAsia="Times New Roman"/>
                <w:color w:val="000000"/>
                <w:sz w:val="26"/>
                <w:szCs w:val="26"/>
              </w:rPr>
              <w:t>144</w:t>
            </w:r>
          </w:p>
        </w:tc>
        <w:tc>
          <w:tcPr>
            <w:tcW w:w="1529" w:type="dxa"/>
            <w:noWrap/>
            <w:vAlign w:val="center"/>
            <w:hideMark/>
          </w:tcPr>
          <w:p w14:paraId="7C7F9089" w14:textId="77777777" w:rsidR="0011213D" w:rsidRPr="00C4343F" w:rsidRDefault="0011213D" w:rsidP="0011213D">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6"/>
                <w:szCs w:val="26"/>
              </w:rPr>
            </w:pPr>
            <w:r w:rsidRPr="00C4343F">
              <w:rPr>
                <w:rFonts w:eastAsia="Times New Roman"/>
                <w:color w:val="000000"/>
                <w:sz w:val="26"/>
                <w:szCs w:val="26"/>
              </w:rPr>
              <w:t>83.72</w:t>
            </w:r>
          </w:p>
        </w:tc>
      </w:tr>
      <w:tr w:rsidR="0011213D" w:rsidRPr="00C4343F" w14:paraId="464CCFBC" w14:textId="77777777" w:rsidTr="0011213D">
        <w:trPr>
          <w:trHeight w:val="230"/>
        </w:trPr>
        <w:tc>
          <w:tcPr>
            <w:cnfStyle w:val="001000000000" w:firstRow="0" w:lastRow="0" w:firstColumn="1" w:lastColumn="0" w:oddVBand="0" w:evenVBand="0" w:oddHBand="0" w:evenHBand="0" w:firstRowFirstColumn="0" w:firstRowLastColumn="0" w:lastRowFirstColumn="0" w:lastRowLastColumn="0"/>
            <w:tcW w:w="4511" w:type="dxa"/>
            <w:noWrap/>
            <w:hideMark/>
          </w:tcPr>
          <w:p w14:paraId="4D2D2547" w14:textId="77777777" w:rsidR="0011213D" w:rsidRPr="00634158" w:rsidRDefault="0011213D" w:rsidP="0011213D">
            <w:pPr>
              <w:spacing w:line="360" w:lineRule="auto"/>
              <w:rPr>
                <w:rFonts w:eastAsia="Times New Roman"/>
                <w:b w:val="0"/>
                <w:color w:val="000000"/>
                <w:sz w:val="26"/>
                <w:szCs w:val="26"/>
              </w:rPr>
            </w:pPr>
            <w:r w:rsidRPr="00634158">
              <w:rPr>
                <w:rFonts w:eastAsia="Times New Roman"/>
                <w:b w:val="0"/>
                <w:color w:val="000000"/>
                <w:sz w:val="26"/>
                <w:szCs w:val="26"/>
              </w:rPr>
              <w:t>Ngân hàng NN&amp;PTNT</w:t>
            </w:r>
          </w:p>
        </w:tc>
        <w:tc>
          <w:tcPr>
            <w:tcW w:w="1529" w:type="dxa"/>
            <w:noWrap/>
            <w:vAlign w:val="center"/>
            <w:hideMark/>
          </w:tcPr>
          <w:p w14:paraId="57FBE544" w14:textId="77777777" w:rsidR="0011213D" w:rsidRPr="00C4343F" w:rsidRDefault="0011213D" w:rsidP="0011213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6"/>
                <w:szCs w:val="26"/>
              </w:rPr>
            </w:pPr>
            <w:r w:rsidRPr="00C4343F">
              <w:rPr>
                <w:rFonts w:eastAsia="Times New Roman"/>
                <w:color w:val="000000"/>
                <w:sz w:val="26"/>
                <w:szCs w:val="26"/>
              </w:rPr>
              <w:t>23</w:t>
            </w:r>
          </w:p>
        </w:tc>
        <w:tc>
          <w:tcPr>
            <w:tcW w:w="1529" w:type="dxa"/>
            <w:noWrap/>
            <w:vAlign w:val="center"/>
            <w:hideMark/>
          </w:tcPr>
          <w:p w14:paraId="75973EB0" w14:textId="77777777" w:rsidR="0011213D" w:rsidRPr="00C4343F" w:rsidRDefault="0011213D" w:rsidP="0011213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6"/>
                <w:szCs w:val="26"/>
              </w:rPr>
            </w:pPr>
            <w:r w:rsidRPr="00C4343F">
              <w:rPr>
                <w:rFonts w:eastAsia="Times New Roman"/>
                <w:color w:val="000000"/>
                <w:sz w:val="26"/>
                <w:szCs w:val="26"/>
              </w:rPr>
              <w:t>13.37</w:t>
            </w:r>
          </w:p>
        </w:tc>
      </w:tr>
      <w:tr w:rsidR="0011213D" w:rsidRPr="00C4343F" w14:paraId="6E5922C2" w14:textId="77777777" w:rsidTr="0011213D">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4511" w:type="dxa"/>
            <w:noWrap/>
            <w:hideMark/>
          </w:tcPr>
          <w:p w14:paraId="0BCA4B6C" w14:textId="77777777" w:rsidR="0011213D" w:rsidRPr="00634158" w:rsidRDefault="0011213D" w:rsidP="0011213D">
            <w:pPr>
              <w:spacing w:line="360" w:lineRule="auto"/>
              <w:rPr>
                <w:rFonts w:eastAsia="Times New Roman"/>
                <w:b w:val="0"/>
                <w:color w:val="000000"/>
                <w:sz w:val="26"/>
                <w:szCs w:val="26"/>
              </w:rPr>
            </w:pPr>
            <w:r w:rsidRPr="00634158">
              <w:rPr>
                <w:rFonts w:eastAsia="Times New Roman"/>
                <w:b w:val="0"/>
                <w:color w:val="000000"/>
                <w:sz w:val="26"/>
                <w:szCs w:val="26"/>
              </w:rPr>
              <w:t>Hội nông dân</w:t>
            </w:r>
          </w:p>
        </w:tc>
        <w:tc>
          <w:tcPr>
            <w:tcW w:w="1529" w:type="dxa"/>
            <w:noWrap/>
            <w:vAlign w:val="center"/>
            <w:hideMark/>
          </w:tcPr>
          <w:p w14:paraId="6ABC25D4" w14:textId="77777777" w:rsidR="0011213D" w:rsidRPr="00C4343F" w:rsidRDefault="0011213D" w:rsidP="0011213D">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6"/>
                <w:szCs w:val="26"/>
              </w:rPr>
            </w:pPr>
            <w:r w:rsidRPr="00C4343F">
              <w:rPr>
                <w:rFonts w:eastAsia="Times New Roman"/>
                <w:color w:val="000000"/>
                <w:sz w:val="26"/>
                <w:szCs w:val="26"/>
              </w:rPr>
              <w:t>2</w:t>
            </w:r>
          </w:p>
        </w:tc>
        <w:tc>
          <w:tcPr>
            <w:tcW w:w="1529" w:type="dxa"/>
            <w:noWrap/>
            <w:vAlign w:val="center"/>
            <w:hideMark/>
          </w:tcPr>
          <w:p w14:paraId="4F042DAD" w14:textId="77777777" w:rsidR="0011213D" w:rsidRPr="00C4343F" w:rsidRDefault="0011213D" w:rsidP="0011213D">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6"/>
                <w:szCs w:val="26"/>
              </w:rPr>
            </w:pPr>
            <w:r w:rsidRPr="00C4343F">
              <w:rPr>
                <w:rFonts w:eastAsia="Times New Roman"/>
                <w:color w:val="000000"/>
                <w:sz w:val="26"/>
                <w:szCs w:val="26"/>
              </w:rPr>
              <w:t>1.16</w:t>
            </w:r>
          </w:p>
        </w:tc>
      </w:tr>
      <w:tr w:rsidR="0011213D" w:rsidRPr="00C4343F" w14:paraId="5EE2C546" w14:textId="77777777" w:rsidTr="0011213D">
        <w:trPr>
          <w:trHeight w:val="230"/>
        </w:trPr>
        <w:tc>
          <w:tcPr>
            <w:cnfStyle w:val="001000000000" w:firstRow="0" w:lastRow="0" w:firstColumn="1" w:lastColumn="0" w:oddVBand="0" w:evenVBand="0" w:oddHBand="0" w:evenHBand="0" w:firstRowFirstColumn="0" w:firstRowLastColumn="0" w:lastRowFirstColumn="0" w:lastRowLastColumn="0"/>
            <w:tcW w:w="4511" w:type="dxa"/>
            <w:noWrap/>
            <w:hideMark/>
          </w:tcPr>
          <w:p w14:paraId="6C974F4E" w14:textId="77777777" w:rsidR="0011213D" w:rsidRPr="00634158" w:rsidRDefault="0011213D" w:rsidP="0011213D">
            <w:pPr>
              <w:spacing w:line="360" w:lineRule="auto"/>
              <w:rPr>
                <w:rFonts w:eastAsia="Times New Roman"/>
                <w:b w:val="0"/>
                <w:color w:val="000000"/>
                <w:sz w:val="26"/>
                <w:szCs w:val="26"/>
              </w:rPr>
            </w:pPr>
            <w:r w:rsidRPr="00634158">
              <w:rPr>
                <w:rFonts w:eastAsia="Times New Roman"/>
                <w:b w:val="0"/>
                <w:color w:val="000000"/>
                <w:sz w:val="26"/>
                <w:szCs w:val="26"/>
              </w:rPr>
              <w:t>Hội phụ nữ</w:t>
            </w:r>
          </w:p>
        </w:tc>
        <w:tc>
          <w:tcPr>
            <w:tcW w:w="1529" w:type="dxa"/>
            <w:noWrap/>
            <w:vAlign w:val="center"/>
            <w:hideMark/>
          </w:tcPr>
          <w:p w14:paraId="03CA53A8" w14:textId="77777777" w:rsidR="0011213D" w:rsidRPr="00C4343F" w:rsidRDefault="0011213D" w:rsidP="0011213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6"/>
                <w:szCs w:val="26"/>
              </w:rPr>
            </w:pPr>
            <w:r w:rsidRPr="00C4343F">
              <w:rPr>
                <w:rFonts w:eastAsia="Times New Roman"/>
                <w:color w:val="000000"/>
                <w:sz w:val="26"/>
                <w:szCs w:val="26"/>
              </w:rPr>
              <w:t>2</w:t>
            </w:r>
          </w:p>
        </w:tc>
        <w:tc>
          <w:tcPr>
            <w:tcW w:w="1529" w:type="dxa"/>
            <w:noWrap/>
            <w:vAlign w:val="center"/>
            <w:hideMark/>
          </w:tcPr>
          <w:p w14:paraId="03F8124D" w14:textId="77777777" w:rsidR="0011213D" w:rsidRPr="00C4343F" w:rsidRDefault="0011213D" w:rsidP="0011213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6"/>
                <w:szCs w:val="26"/>
              </w:rPr>
            </w:pPr>
            <w:r w:rsidRPr="00C4343F">
              <w:rPr>
                <w:rFonts w:eastAsia="Times New Roman"/>
                <w:color w:val="000000"/>
                <w:sz w:val="26"/>
                <w:szCs w:val="26"/>
              </w:rPr>
              <w:t>1.16</w:t>
            </w:r>
          </w:p>
        </w:tc>
      </w:tr>
      <w:tr w:rsidR="0011213D" w:rsidRPr="00C4343F" w14:paraId="056002E3" w14:textId="77777777" w:rsidTr="0011213D">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4511" w:type="dxa"/>
            <w:noWrap/>
            <w:hideMark/>
          </w:tcPr>
          <w:p w14:paraId="3CB6FC33" w14:textId="77777777" w:rsidR="0011213D" w:rsidRPr="00634158" w:rsidRDefault="0011213D" w:rsidP="0011213D">
            <w:pPr>
              <w:spacing w:line="360" w:lineRule="auto"/>
              <w:rPr>
                <w:rFonts w:eastAsia="Times New Roman"/>
                <w:b w:val="0"/>
                <w:color w:val="000000"/>
                <w:sz w:val="26"/>
                <w:szCs w:val="26"/>
              </w:rPr>
            </w:pPr>
            <w:r w:rsidRPr="00634158">
              <w:rPr>
                <w:rFonts w:eastAsia="Times New Roman"/>
                <w:b w:val="0"/>
                <w:color w:val="000000"/>
                <w:sz w:val="26"/>
                <w:szCs w:val="26"/>
              </w:rPr>
              <w:t>Quỹ tín dụng nhân dân</w:t>
            </w:r>
          </w:p>
        </w:tc>
        <w:tc>
          <w:tcPr>
            <w:tcW w:w="1529" w:type="dxa"/>
            <w:noWrap/>
            <w:vAlign w:val="center"/>
            <w:hideMark/>
          </w:tcPr>
          <w:p w14:paraId="52F60E56" w14:textId="77777777" w:rsidR="0011213D" w:rsidRPr="00C4343F" w:rsidRDefault="0011213D" w:rsidP="0011213D">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6"/>
                <w:szCs w:val="26"/>
              </w:rPr>
            </w:pPr>
            <w:r w:rsidRPr="00C4343F">
              <w:rPr>
                <w:rFonts w:eastAsia="Times New Roman"/>
                <w:color w:val="000000"/>
                <w:sz w:val="26"/>
                <w:szCs w:val="26"/>
              </w:rPr>
              <w:t>1</w:t>
            </w:r>
          </w:p>
        </w:tc>
        <w:tc>
          <w:tcPr>
            <w:tcW w:w="1529" w:type="dxa"/>
            <w:noWrap/>
            <w:vAlign w:val="center"/>
            <w:hideMark/>
          </w:tcPr>
          <w:p w14:paraId="4490E2F7" w14:textId="77777777" w:rsidR="0011213D" w:rsidRPr="00C4343F" w:rsidRDefault="0011213D" w:rsidP="0011213D">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6"/>
                <w:szCs w:val="26"/>
              </w:rPr>
            </w:pPr>
            <w:r w:rsidRPr="00C4343F">
              <w:rPr>
                <w:rFonts w:eastAsia="Times New Roman"/>
                <w:color w:val="000000"/>
                <w:sz w:val="26"/>
                <w:szCs w:val="26"/>
              </w:rPr>
              <w:t>0.58</w:t>
            </w:r>
          </w:p>
        </w:tc>
      </w:tr>
      <w:tr w:rsidR="0011213D" w:rsidRPr="00C4343F" w14:paraId="7468339C" w14:textId="77777777" w:rsidTr="0011213D">
        <w:trPr>
          <w:trHeight w:val="230"/>
        </w:trPr>
        <w:tc>
          <w:tcPr>
            <w:cnfStyle w:val="001000000000" w:firstRow="0" w:lastRow="0" w:firstColumn="1" w:lastColumn="0" w:oddVBand="0" w:evenVBand="0" w:oddHBand="0" w:evenHBand="0" w:firstRowFirstColumn="0" w:firstRowLastColumn="0" w:lastRowFirstColumn="0" w:lastRowLastColumn="0"/>
            <w:tcW w:w="4511" w:type="dxa"/>
            <w:noWrap/>
            <w:hideMark/>
          </w:tcPr>
          <w:p w14:paraId="4F5B7A2F" w14:textId="77777777" w:rsidR="0011213D" w:rsidRPr="00634158" w:rsidRDefault="0011213D" w:rsidP="0011213D">
            <w:pPr>
              <w:spacing w:line="360" w:lineRule="auto"/>
              <w:rPr>
                <w:rFonts w:eastAsia="Times New Roman"/>
                <w:b w:val="0"/>
                <w:color w:val="000000"/>
                <w:sz w:val="26"/>
                <w:szCs w:val="26"/>
              </w:rPr>
            </w:pPr>
            <w:r w:rsidRPr="00634158">
              <w:rPr>
                <w:rFonts w:eastAsia="Times New Roman"/>
                <w:b w:val="0"/>
                <w:color w:val="000000"/>
                <w:sz w:val="26"/>
                <w:szCs w:val="26"/>
              </w:rPr>
              <w:t>Tổng số</w:t>
            </w:r>
          </w:p>
        </w:tc>
        <w:tc>
          <w:tcPr>
            <w:tcW w:w="1529" w:type="dxa"/>
            <w:noWrap/>
            <w:vAlign w:val="center"/>
            <w:hideMark/>
          </w:tcPr>
          <w:p w14:paraId="036B2E00" w14:textId="77777777" w:rsidR="0011213D" w:rsidRPr="00C4343F" w:rsidRDefault="0011213D" w:rsidP="0011213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6"/>
                <w:szCs w:val="26"/>
              </w:rPr>
            </w:pPr>
            <w:r w:rsidRPr="00C4343F">
              <w:rPr>
                <w:rFonts w:eastAsia="Times New Roman"/>
                <w:color w:val="000000"/>
                <w:sz w:val="26"/>
                <w:szCs w:val="26"/>
              </w:rPr>
              <w:t>172</w:t>
            </w:r>
          </w:p>
        </w:tc>
        <w:tc>
          <w:tcPr>
            <w:tcW w:w="1529" w:type="dxa"/>
            <w:noWrap/>
            <w:vAlign w:val="center"/>
            <w:hideMark/>
          </w:tcPr>
          <w:p w14:paraId="41D07012" w14:textId="77777777" w:rsidR="0011213D" w:rsidRPr="00C4343F" w:rsidRDefault="0011213D" w:rsidP="0011213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6"/>
                <w:szCs w:val="26"/>
              </w:rPr>
            </w:pPr>
            <w:r w:rsidRPr="00C4343F">
              <w:rPr>
                <w:rFonts w:eastAsia="Times New Roman"/>
                <w:color w:val="000000"/>
                <w:sz w:val="26"/>
                <w:szCs w:val="26"/>
              </w:rPr>
              <w:t>100</w:t>
            </w:r>
            <w:r>
              <w:rPr>
                <w:rFonts w:eastAsia="Times New Roman"/>
                <w:color w:val="000000"/>
                <w:sz w:val="26"/>
                <w:szCs w:val="26"/>
              </w:rPr>
              <w:t>%</w:t>
            </w:r>
          </w:p>
        </w:tc>
      </w:tr>
    </w:tbl>
    <w:p w14:paraId="2D48A9C8" w14:textId="07BCE88C" w:rsidR="00C4343F" w:rsidRDefault="00C4343F" w:rsidP="003F327A">
      <w:pPr>
        <w:spacing w:line="480" w:lineRule="auto"/>
        <w:ind w:firstLine="709"/>
        <w:jc w:val="center"/>
        <w:rPr>
          <w:sz w:val="26"/>
          <w:szCs w:val="26"/>
        </w:rPr>
      </w:pPr>
    </w:p>
    <w:p w14:paraId="7F4F4361" w14:textId="77777777" w:rsidR="00EE1EA9" w:rsidRDefault="00EE1EA9" w:rsidP="003F327A">
      <w:pPr>
        <w:spacing w:line="480" w:lineRule="auto"/>
        <w:jc w:val="both"/>
        <w:rPr>
          <w:b/>
          <w:i/>
          <w:sz w:val="26"/>
          <w:szCs w:val="26"/>
        </w:rPr>
      </w:pPr>
    </w:p>
    <w:p w14:paraId="1ED8CD30" w14:textId="77777777" w:rsidR="00EE1EA9" w:rsidRDefault="00EE1EA9" w:rsidP="003F327A">
      <w:pPr>
        <w:spacing w:line="480" w:lineRule="auto"/>
        <w:jc w:val="both"/>
        <w:rPr>
          <w:b/>
          <w:i/>
          <w:sz w:val="26"/>
          <w:szCs w:val="26"/>
        </w:rPr>
      </w:pPr>
    </w:p>
    <w:p w14:paraId="7E44621B" w14:textId="77777777" w:rsidR="00EE1EA9" w:rsidRPr="00440785" w:rsidRDefault="00EE1EA9" w:rsidP="003F327A">
      <w:pPr>
        <w:spacing w:line="480" w:lineRule="auto"/>
        <w:jc w:val="both"/>
        <w:rPr>
          <w:b/>
          <w:i/>
          <w:sz w:val="26"/>
          <w:szCs w:val="26"/>
        </w:rPr>
      </w:pPr>
    </w:p>
    <w:p w14:paraId="68C57BC0" w14:textId="77777777" w:rsidR="00E356C9" w:rsidRDefault="00E356C9" w:rsidP="003F327A">
      <w:pPr>
        <w:spacing w:line="480" w:lineRule="auto"/>
        <w:jc w:val="both"/>
        <w:rPr>
          <w:b/>
          <w:sz w:val="26"/>
          <w:szCs w:val="26"/>
        </w:rPr>
      </w:pPr>
    </w:p>
    <w:p w14:paraId="367FFF95" w14:textId="45B0D2F4" w:rsidR="00634158" w:rsidRPr="0011213D" w:rsidRDefault="0011213D" w:rsidP="0011213D">
      <w:pPr>
        <w:spacing w:line="480" w:lineRule="auto"/>
        <w:ind w:left="3600"/>
        <w:jc w:val="both"/>
        <w:rPr>
          <w:sz w:val="26"/>
          <w:szCs w:val="26"/>
        </w:rPr>
      </w:pPr>
      <w:r>
        <w:rPr>
          <w:sz w:val="26"/>
          <w:szCs w:val="26"/>
        </w:rPr>
        <w:t>NNgu</w:t>
      </w:r>
      <w:r w:rsidR="00634158">
        <w:rPr>
          <w:sz w:val="26"/>
          <w:szCs w:val="26"/>
        </w:rPr>
        <w:t>ồn</w:t>
      </w:r>
      <w:r w:rsidR="00634158" w:rsidRPr="00440785">
        <w:rPr>
          <w:sz w:val="26"/>
          <w:szCs w:val="26"/>
        </w:rPr>
        <w:t>: Tính toán của tác giả từ bộ dữ liệu VHLSS</w:t>
      </w:r>
    </w:p>
    <w:p w14:paraId="0A84242D" w14:textId="1A0B99A5" w:rsidR="00430DC0" w:rsidRPr="00440785" w:rsidRDefault="00982BEE" w:rsidP="003F327A">
      <w:pPr>
        <w:spacing w:line="480" w:lineRule="auto"/>
        <w:jc w:val="both"/>
        <w:rPr>
          <w:b/>
          <w:i/>
          <w:sz w:val="26"/>
          <w:szCs w:val="26"/>
        </w:rPr>
      </w:pPr>
      <w:r>
        <w:rPr>
          <w:b/>
          <w:i/>
          <w:sz w:val="26"/>
          <w:szCs w:val="26"/>
        </w:rPr>
        <w:t>4</w:t>
      </w:r>
      <w:r w:rsidR="00142412" w:rsidRPr="00440785">
        <w:rPr>
          <w:b/>
          <w:i/>
          <w:sz w:val="26"/>
          <w:szCs w:val="26"/>
        </w:rPr>
        <w:t>.</w:t>
      </w:r>
      <w:r w:rsidR="00FF7E90">
        <w:rPr>
          <w:b/>
          <w:i/>
          <w:sz w:val="26"/>
          <w:szCs w:val="26"/>
        </w:rPr>
        <w:t>2</w:t>
      </w:r>
      <w:r w:rsidR="003F30F7" w:rsidRPr="00440785">
        <w:rPr>
          <w:b/>
          <w:i/>
          <w:sz w:val="26"/>
          <w:szCs w:val="26"/>
        </w:rPr>
        <w:t>. Các nhân tố ảnh hưởng tới tiếp cận tín dụng</w:t>
      </w:r>
    </w:p>
    <w:p w14:paraId="47B9A97F" w14:textId="44DB4B44" w:rsidR="00045318" w:rsidRPr="00440785" w:rsidRDefault="002B738D" w:rsidP="003F327A">
      <w:pPr>
        <w:spacing w:line="480" w:lineRule="auto"/>
        <w:ind w:firstLine="709"/>
        <w:jc w:val="center"/>
        <w:rPr>
          <w:sz w:val="26"/>
          <w:szCs w:val="26"/>
        </w:rPr>
      </w:pPr>
      <w:r w:rsidRPr="00440785">
        <w:rPr>
          <w:sz w:val="26"/>
          <w:szCs w:val="26"/>
        </w:rPr>
        <w:t>Bảng</w:t>
      </w:r>
      <w:r w:rsidR="0011213D">
        <w:rPr>
          <w:sz w:val="26"/>
          <w:szCs w:val="26"/>
        </w:rPr>
        <w:t xml:space="preserve"> 4</w:t>
      </w:r>
      <w:r w:rsidR="00045318" w:rsidRPr="00440785">
        <w:rPr>
          <w:sz w:val="26"/>
          <w:szCs w:val="26"/>
        </w:rPr>
        <w:t xml:space="preserve">. </w:t>
      </w:r>
      <w:r w:rsidRPr="00440785">
        <w:rPr>
          <w:sz w:val="26"/>
          <w:szCs w:val="26"/>
        </w:rPr>
        <w:t>Tiếp cận tín dụng chính thức của hộ</w:t>
      </w:r>
    </w:p>
    <w:tbl>
      <w:tblPr>
        <w:tblW w:w="9763" w:type="dxa"/>
        <w:jc w:val="center"/>
        <w:tblCellMar>
          <w:left w:w="0" w:type="dxa"/>
          <w:right w:w="0" w:type="dxa"/>
        </w:tblCellMar>
        <w:tblLook w:val="04A0" w:firstRow="1" w:lastRow="0" w:firstColumn="1" w:lastColumn="0" w:noHBand="0" w:noVBand="1"/>
      </w:tblPr>
      <w:tblGrid>
        <w:gridCol w:w="4353"/>
        <w:gridCol w:w="1559"/>
        <w:gridCol w:w="1281"/>
        <w:gridCol w:w="1285"/>
        <w:gridCol w:w="1285"/>
      </w:tblGrid>
      <w:tr w:rsidR="00C544F5" w:rsidRPr="00440785" w14:paraId="52C4D464" w14:textId="77777777" w:rsidTr="00C544F5">
        <w:trPr>
          <w:trHeight w:val="219"/>
          <w:jc w:val="center"/>
        </w:trPr>
        <w:tc>
          <w:tcPr>
            <w:tcW w:w="4353" w:type="dxa"/>
            <w:tcBorders>
              <w:top w:val="single" w:sz="4" w:space="0" w:color="auto"/>
              <w:left w:val="nil"/>
              <w:bottom w:val="single" w:sz="4" w:space="0" w:color="000000"/>
              <w:right w:val="nil"/>
            </w:tcBorders>
            <w:shd w:val="clear" w:color="auto" w:fill="auto"/>
            <w:noWrap/>
            <w:tcMar>
              <w:top w:w="15" w:type="dxa"/>
              <w:left w:w="15" w:type="dxa"/>
              <w:bottom w:w="0" w:type="dxa"/>
              <w:right w:w="15" w:type="dxa"/>
            </w:tcMar>
            <w:vAlign w:val="bottom"/>
            <w:hideMark/>
          </w:tcPr>
          <w:p w14:paraId="5A1406F7" w14:textId="77777777" w:rsidR="00C544F5" w:rsidRPr="00440785" w:rsidRDefault="00C544F5" w:rsidP="0011213D">
            <w:pPr>
              <w:spacing w:line="360" w:lineRule="auto"/>
              <w:rPr>
                <w:rFonts w:eastAsia="Times New Roman"/>
                <w:sz w:val="26"/>
                <w:szCs w:val="26"/>
              </w:rPr>
            </w:pPr>
            <w:r w:rsidRPr="00440785">
              <w:rPr>
                <w:sz w:val="26"/>
                <w:szCs w:val="26"/>
              </w:rPr>
              <w:t>Tên biến</w:t>
            </w:r>
          </w:p>
        </w:tc>
        <w:tc>
          <w:tcPr>
            <w:tcW w:w="1559" w:type="dxa"/>
            <w:tcBorders>
              <w:top w:val="single" w:sz="4" w:space="0" w:color="auto"/>
              <w:left w:val="nil"/>
              <w:bottom w:val="single" w:sz="4" w:space="0" w:color="000000"/>
              <w:right w:val="nil"/>
            </w:tcBorders>
            <w:shd w:val="clear" w:color="auto" w:fill="auto"/>
            <w:noWrap/>
            <w:tcMar>
              <w:top w:w="15" w:type="dxa"/>
              <w:left w:w="15" w:type="dxa"/>
              <w:bottom w:w="0" w:type="dxa"/>
              <w:right w:w="15" w:type="dxa"/>
            </w:tcMar>
            <w:vAlign w:val="bottom"/>
            <w:hideMark/>
          </w:tcPr>
          <w:p w14:paraId="4D5C0EB7" w14:textId="77777777" w:rsidR="00C544F5" w:rsidRPr="00440785" w:rsidRDefault="00C544F5" w:rsidP="0011213D">
            <w:pPr>
              <w:spacing w:line="360" w:lineRule="auto"/>
              <w:jc w:val="center"/>
              <w:rPr>
                <w:sz w:val="26"/>
                <w:szCs w:val="26"/>
              </w:rPr>
            </w:pPr>
            <w:r w:rsidRPr="00440785">
              <w:rPr>
                <w:sz w:val="26"/>
                <w:szCs w:val="26"/>
              </w:rPr>
              <w:t>MH1</w:t>
            </w:r>
          </w:p>
        </w:tc>
        <w:tc>
          <w:tcPr>
            <w:tcW w:w="1281" w:type="dxa"/>
            <w:tcBorders>
              <w:top w:val="single" w:sz="4" w:space="0" w:color="auto"/>
              <w:left w:val="nil"/>
              <w:bottom w:val="single" w:sz="4" w:space="0" w:color="000000"/>
              <w:right w:val="nil"/>
            </w:tcBorders>
            <w:shd w:val="clear" w:color="auto" w:fill="auto"/>
            <w:noWrap/>
            <w:tcMar>
              <w:top w:w="15" w:type="dxa"/>
              <w:left w:w="15" w:type="dxa"/>
              <w:bottom w:w="0" w:type="dxa"/>
              <w:right w:w="15" w:type="dxa"/>
            </w:tcMar>
            <w:vAlign w:val="bottom"/>
            <w:hideMark/>
          </w:tcPr>
          <w:p w14:paraId="5FAD6C47" w14:textId="77777777" w:rsidR="00C544F5" w:rsidRPr="00440785" w:rsidRDefault="00C544F5" w:rsidP="0011213D">
            <w:pPr>
              <w:spacing w:line="360" w:lineRule="auto"/>
              <w:jc w:val="center"/>
              <w:rPr>
                <w:sz w:val="26"/>
                <w:szCs w:val="26"/>
              </w:rPr>
            </w:pPr>
            <w:r w:rsidRPr="00440785">
              <w:rPr>
                <w:sz w:val="26"/>
                <w:szCs w:val="26"/>
              </w:rPr>
              <w:t>MH2</w:t>
            </w:r>
          </w:p>
        </w:tc>
        <w:tc>
          <w:tcPr>
            <w:tcW w:w="1285" w:type="dxa"/>
            <w:tcBorders>
              <w:top w:val="single" w:sz="4" w:space="0" w:color="auto"/>
              <w:left w:val="nil"/>
              <w:bottom w:val="single" w:sz="4" w:space="0" w:color="000000"/>
              <w:right w:val="nil"/>
            </w:tcBorders>
            <w:shd w:val="clear" w:color="auto" w:fill="auto"/>
            <w:noWrap/>
            <w:tcMar>
              <w:top w:w="15" w:type="dxa"/>
              <w:left w:w="15" w:type="dxa"/>
              <w:bottom w:w="0" w:type="dxa"/>
              <w:right w:w="15" w:type="dxa"/>
            </w:tcMar>
            <w:vAlign w:val="bottom"/>
            <w:hideMark/>
          </w:tcPr>
          <w:p w14:paraId="1B1FCBEB" w14:textId="77777777" w:rsidR="00C544F5" w:rsidRPr="00440785" w:rsidRDefault="00C544F5" w:rsidP="0011213D">
            <w:pPr>
              <w:spacing w:line="360" w:lineRule="auto"/>
              <w:jc w:val="center"/>
              <w:rPr>
                <w:sz w:val="26"/>
                <w:szCs w:val="26"/>
              </w:rPr>
            </w:pPr>
            <w:r w:rsidRPr="00440785">
              <w:rPr>
                <w:sz w:val="26"/>
                <w:szCs w:val="26"/>
              </w:rPr>
              <w:t>MH3</w:t>
            </w:r>
          </w:p>
        </w:tc>
        <w:tc>
          <w:tcPr>
            <w:tcW w:w="1285" w:type="dxa"/>
            <w:tcBorders>
              <w:top w:val="single" w:sz="4" w:space="0" w:color="auto"/>
              <w:left w:val="nil"/>
              <w:bottom w:val="single" w:sz="4" w:space="0" w:color="000000"/>
              <w:right w:val="nil"/>
            </w:tcBorders>
            <w:shd w:val="clear" w:color="auto" w:fill="auto"/>
            <w:noWrap/>
            <w:tcMar>
              <w:top w:w="15" w:type="dxa"/>
              <w:left w:w="15" w:type="dxa"/>
              <w:bottom w:w="0" w:type="dxa"/>
              <w:right w:w="15" w:type="dxa"/>
            </w:tcMar>
            <w:vAlign w:val="bottom"/>
            <w:hideMark/>
          </w:tcPr>
          <w:p w14:paraId="2DDEADF8" w14:textId="77777777" w:rsidR="00C544F5" w:rsidRPr="00440785" w:rsidRDefault="00C544F5" w:rsidP="0011213D">
            <w:pPr>
              <w:spacing w:line="360" w:lineRule="auto"/>
              <w:jc w:val="center"/>
              <w:rPr>
                <w:sz w:val="26"/>
                <w:szCs w:val="26"/>
              </w:rPr>
            </w:pPr>
            <w:r w:rsidRPr="00440785">
              <w:rPr>
                <w:sz w:val="26"/>
                <w:szCs w:val="26"/>
              </w:rPr>
              <w:t>MH4</w:t>
            </w:r>
          </w:p>
        </w:tc>
      </w:tr>
      <w:tr w:rsidR="00C544F5" w:rsidRPr="00440785" w14:paraId="217C39FB" w14:textId="77777777" w:rsidTr="00C544F5">
        <w:trPr>
          <w:trHeight w:val="219"/>
          <w:jc w:val="center"/>
        </w:trPr>
        <w:tc>
          <w:tcPr>
            <w:tcW w:w="4353" w:type="dxa"/>
            <w:tcBorders>
              <w:top w:val="nil"/>
              <w:left w:val="nil"/>
              <w:bottom w:val="nil"/>
              <w:right w:val="nil"/>
            </w:tcBorders>
            <w:shd w:val="clear" w:color="auto" w:fill="auto"/>
            <w:noWrap/>
            <w:tcMar>
              <w:top w:w="15" w:type="dxa"/>
              <w:left w:w="15" w:type="dxa"/>
              <w:bottom w:w="0" w:type="dxa"/>
              <w:right w:w="15" w:type="dxa"/>
            </w:tcMar>
            <w:vAlign w:val="bottom"/>
            <w:hideMark/>
          </w:tcPr>
          <w:p w14:paraId="6414DD3D" w14:textId="77777777" w:rsidR="00C544F5" w:rsidRPr="00440785" w:rsidRDefault="00C544F5" w:rsidP="0011213D">
            <w:pPr>
              <w:spacing w:line="360" w:lineRule="auto"/>
              <w:rPr>
                <w:sz w:val="26"/>
                <w:szCs w:val="26"/>
              </w:rPr>
            </w:pPr>
            <w:r w:rsidRPr="00440785">
              <w:rPr>
                <w:sz w:val="26"/>
                <w:szCs w:val="26"/>
              </w:rPr>
              <w:t>Tuổi</w:t>
            </w:r>
          </w:p>
        </w:tc>
        <w:tc>
          <w:tcPr>
            <w:tcW w:w="1559" w:type="dxa"/>
            <w:tcBorders>
              <w:top w:val="nil"/>
              <w:left w:val="nil"/>
              <w:bottom w:val="nil"/>
              <w:right w:val="nil"/>
            </w:tcBorders>
            <w:shd w:val="clear" w:color="auto" w:fill="auto"/>
            <w:noWrap/>
            <w:tcMar>
              <w:top w:w="15" w:type="dxa"/>
              <w:left w:w="15" w:type="dxa"/>
              <w:bottom w:w="0" w:type="dxa"/>
              <w:right w:w="15" w:type="dxa"/>
            </w:tcMar>
            <w:vAlign w:val="bottom"/>
            <w:hideMark/>
          </w:tcPr>
          <w:p w14:paraId="0F784FFE" w14:textId="77777777" w:rsidR="00C544F5" w:rsidRPr="00440785" w:rsidRDefault="00C544F5" w:rsidP="0011213D">
            <w:pPr>
              <w:spacing w:line="360" w:lineRule="auto"/>
              <w:jc w:val="center"/>
              <w:rPr>
                <w:sz w:val="26"/>
                <w:szCs w:val="26"/>
              </w:rPr>
            </w:pPr>
            <w:r w:rsidRPr="00440785">
              <w:rPr>
                <w:sz w:val="26"/>
                <w:szCs w:val="26"/>
              </w:rPr>
              <w:t>0.001***</w:t>
            </w:r>
          </w:p>
        </w:tc>
        <w:tc>
          <w:tcPr>
            <w:tcW w:w="1281" w:type="dxa"/>
            <w:tcBorders>
              <w:top w:val="nil"/>
              <w:left w:val="nil"/>
              <w:bottom w:val="nil"/>
              <w:right w:val="nil"/>
            </w:tcBorders>
            <w:shd w:val="clear" w:color="auto" w:fill="auto"/>
            <w:noWrap/>
            <w:tcMar>
              <w:top w:w="15" w:type="dxa"/>
              <w:left w:w="15" w:type="dxa"/>
              <w:bottom w:w="0" w:type="dxa"/>
              <w:right w:w="15" w:type="dxa"/>
            </w:tcMar>
            <w:vAlign w:val="bottom"/>
            <w:hideMark/>
          </w:tcPr>
          <w:p w14:paraId="15A18D28" w14:textId="77777777" w:rsidR="00C544F5" w:rsidRPr="00440785" w:rsidRDefault="00C544F5" w:rsidP="0011213D">
            <w:pPr>
              <w:spacing w:line="360" w:lineRule="auto"/>
              <w:jc w:val="center"/>
              <w:rPr>
                <w:sz w:val="26"/>
                <w:szCs w:val="26"/>
              </w:rPr>
            </w:pPr>
            <w:r w:rsidRPr="00440785">
              <w:rPr>
                <w:sz w:val="26"/>
                <w:szCs w:val="26"/>
              </w:rPr>
              <w:t>-0.002***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1B0EEC0" w14:textId="77777777" w:rsidR="00C544F5" w:rsidRPr="00440785" w:rsidRDefault="00C544F5" w:rsidP="0011213D">
            <w:pPr>
              <w:spacing w:line="360" w:lineRule="auto"/>
              <w:jc w:val="center"/>
              <w:rPr>
                <w:sz w:val="26"/>
                <w:szCs w:val="26"/>
              </w:rPr>
            </w:pPr>
            <w:r w:rsidRPr="00440785">
              <w:rPr>
                <w:sz w:val="26"/>
                <w:szCs w:val="26"/>
              </w:rPr>
              <w:t>-0.001***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BC436EF" w14:textId="77777777" w:rsidR="00C544F5" w:rsidRPr="00440785" w:rsidRDefault="00C544F5" w:rsidP="0011213D">
            <w:pPr>
              <w:spacing w:line="360" w:lineRule="auto"/>
              <w:jc w:val="center"/>
              <w:rPr>
                <w:sz w:val="26"/>
                <w:szCs w:val="26"/>
              </w:rPr>
            </w:pPr>
            <w:r w:rsidRPr="00440785">
              <w:rPr>
                <w:sz w:val="26"/>
                <w:szCs w:val="26"/>
              </w:rPr>
              <w:t>-0.002***</w:t>
            </w:r>
          </w:p>
        </w:tc>
      </w:tr>
      <w:tr w:rsidR="00C544F5" w:rsidRPr="00440785" w14:paraId="68720271" w14:textId="77777777" w:rsidTr="00C544F5">
        <w:trPr>
          <w:trHeight w:val="219"/>
          <w:jc w:val="center"/>
        </w:trPr>
        <w:tc>
          <w:tcPr>
            <w:tcW w:w="4353" w:type="dxa"/>
            <w:tcBorders>
              <w:top w:val="nil"/>
              <w:left w:val="nil"/>
              <w:bottom w:val="nil"/>
              <w:right w:val="nil"/>
            </w:tcBorders>
            <w:shd w:val="clear" w:color="auto" w:fill="auto"/>
            <w:noWrap/>
            <w:tcMar>
              <w:top w:w="15" w:type="dxa"/>
              <w:left w:w="15" w:type="dxa"/>
              <w:bottom w:w="0" w:type="dxa"/>
              <w:right w:w="15" w:type="dxa"/>
            </w:tcMar>
            <w:vAlign w:val="bottom"/>
            <w:hideMark/>
          </w:tcPr>
          <w:p w14:paraId="35C90CC7" w14:textId="77777777" w:rsidR="00C544F5" w:rsidRPr="00440785" w:rsidRDefault="00C544F5" w:rsidP="0011213D">
            <w:pPr>
              <w:spacing w:line="360" w:lineRule="auto"/>
              <w:jc w:val="center"/>
              <w:rPr>
                <w:sz w:val="26"/>
                <w:szCs w:val="26"/>
              </w:rPr>
            </w:pPr>
          </w:p>
        </w:tc>
        <w:tc>
          <w:tcPr>
            <w:tcW w:w="1559" w:type="dxa"/>
            <w:tcBorders>
              <w:top w:val="nil"/>
              <w:left w:val="nil"/>
              <w:bottom w:val="nil"/>
              <w:right w:val="nil"/>
            </w:tcBorders>
            <w:shd w:val="clear" w:color="auto" w:fill="auto"/>
            <w:noWrap/>
            <w:tcMar>
              <w:top w:w="15" w:type="dxa"/>
              <w:left w:w="15" w:type="dxa"/>
              <w:bottom w:w="0" w:type="dxa"/>
              <w:right w:w="15" w:type="dxa"/>
            </w:tcMar>
            <w:vAlign w:val="bottom"/>
            <w:hideMark/>
          </w:tcPr>
          <w:p w14:paraId="7CFC09C7" w14:textId="77777777" w:rsidR="00C544F5" w:rsidRPr="00440785" w:rsidRDefault="00C544F5" w:rsidP="0011213D">
            <w:pPr>
              <w:spacing w:line="360" w:lineRule="auto"/>
              <w:jc w:val="center"/>
              <w:rPr>
                <w:sz w:val="26"/>
                <w:szCs w:val="26"/>
              </w:rPr>
            </w:pPr>
            <w:r w:rsidRPr="00440785">
              <w:rPr>
                <w:sz w:val="26"/>
                <w:szCs w:val="26"/>
              </w:rPr>
              <w:t>(0.000)</w:t>
            </w:r>
          </w:p>
        </w:tc>
        <w:tc>
          <w:tcPr>
            <w:tcW w:w="1281" w:type="dxa"/>
            <w:tcBorders>
              <w:top w:val="nil"/>
              <w:left w:val="nil"/>
              <w:bottom w:val="nil"/>
              <w:right w:val="nil"/>
            </w:tcBorders>
            <w:shd w:val="clear" w:color="auto" w:fill="auto"/>
            <w:noWrap/>
            <w:tcMar>
              <w:top w:w="15" w:type="dxa"/>
              <w:left w:w="15" w:type="dxa"/>
              <w:bottom w:w="0" w:type="dxa"/>
              <w:right w:w="15" w:type="dxa"/>
            </w:tcMar>
            <w:vAlign w:val="bottom"/>
            <w:hideMark/>
          </w:tcPr>
          <w:p w14:paraId="6C100F2D" w14:textId="77777777" w:rsidR="00C544F5" w:rsidRPr="00440785" w:rsidRDefault="00C544F5" w:rsidP="0011213D">
            <w:pPr>
              <w:spacing w:line="360" w:lineRule="auto"/>
              <w:jc w:val="center"/>
              <w:rPr>
                <w:sz w:val="26"/>
                <w:szCs w:val="26"/>
              </w:rPr>
            </w:pPr>
            <w:r w:rsidRPr="00440785">
              <w:rPr>
                <w:sz w:val="26"/>
                <w:szCs w:val="26"/>
              </w:rPr>
              <w:t>(0.000)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F23232A" w14:textId="77777777" w:rsidR="00C544F5" w:rsidRPr="00440785" w:rsidRDefault="00C544F5" w:rsidP="0011213D">
            <w:pPr>
              <w:spacing w:line="360" w:lineRule="auto"/>
              <w:jc w:val="center"/>
              <w:rPr>
                <w:sz w:val="26"/>
                <w:szCs w:val="26"/>
              </w:rPr>
            </w:pPr>
            <w:r w:rsidRPr="00440785">
              <w:rPr>
                <w:sz w:val="26"/>
                <w:szCs w:val="26"/>
              </w:rPr>
              <w:t>(0.000)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208D8CD" w14:textId="77777777" w:rsidR="00C544F5" w:rsidRPr="00440785" w:rsidRDefault="00C544F5" w:rsidP="0011213D">
            <w:pPr>
              <w:spacing w:line="360" w:lineRule="auto"/>
              <w:jc w:val="center"/>
              <w:rPr>
                <w:sz w:val="26"/>
                <w:szCs w:val="26"/>
              </w:rPr>
            </w:pPr>
            <w:r w:rsidRPr="00440785">
              <w:rPr>
                <w:sz w:val="26"/>
                <w:szCs w:val="26"/>
              </w:rPr>
              <w:t>(0.000)</w:t>
            </w:r>
          </w:p>
        </w:tc>
      </w:tr>
      <w:tr w:rsidR="00C544F5" w:rsidRPr="00440785" w14:paraId="276439D8" w14:textId="77777777" w:rsidTr="00C544F5">
        <w:trPr>
          <w:trHeight w:val="289"/>
          <w:jc w:val="center"/>
        </w:trPr>
        <w:tc>
          <w:tcPr>
            <w:tcW w:w="4353" w:type="dxa"/>
            <w:tcBorders>
              <w:top w:val="nil"/>
              <w:left w:val="nil"/>
              <w:bottom w:val="nil"/>
              <w:right w:val="nil"/>
            </w:tcBorders>
            <w:shd w:val="clear" w:color="auto" w:fill="auto"/>
            <w:noWrap/>
            <w:tcMar>
              <w:top w:w="15" w:type="dxa"/>
              <w:left w:w="15" w:type="dxa"/>
              <w:bottom w:w="0" w:type="dxa"/>
              <w:right w:w="15" w:type="dxa"/>
            </w:tcMar>
            <w:vAlign w:val="bottom"/>
            <w:hideMark/>
          </w:tcPr>
          <w:p w14:paraId="78D49E4F" w14:textId="77777777" w:rsidR="00C544F5" w:rsidRPr="00440785" w:rsidRDefault="00C544F5" w:rsidP="0011213D">
            <w:pPr>
              <w:spacing w:line="360" w:lineRule="auto"/>
              <w:rPr>
                <w:b/>
                <w:bCs/>
                <w:sz w:val="26"/>
                <w:szCs w:val="26"/>
              </w:rPr>
            </w:pPr>
            <w:r w:rsidRPr="00440785">
              <w:rPr>
                <w:b/>
                <w:bCs/>
                <w:sz w:val="26"/>
                <w:szCs w:val="26"/>
              </w:rPr>
              <w:t>Giáo dục của chủ hộ</w:t>
            </w:r>
          </w:p>
        </w:tc>
        <w:tc>
          <w:tcPr>
            <w:tcW w:w="1559" w:type="dxa"/>
            <w:tcBorders>
              <w:top w:val="nil"/>
              <w:left w:val="nil"/>
              <w:bottom w:val="nil"/>
              <w:right w:val="nil"/>
            </w:tcBorders>
            <w:shd w:val="clear" w:color="auto" w:fill="auto"/>
            <w:noWrap/>
            <w:tcMar>
              <w:top w:w="15" w:type="dxa"/>
              <w:left w:w="15" w:type="dxa"/>
              <w:bottom w:w="0" w:type="dxa"/>
              <w:right w:w="15" w:type="dxa"/>
            </w:tcMar>
            <w:vAlign w:val="bottom"/>
            <w:hideMark/>
          </w:tcPr>
          <w:p w14:paraId="0FCA472C" w14:textId="77777777" w:rsidR="00C544F5" w:rsidRPr="00440785" w:rsidRDefault="00C544F5" w:rsidP="0011213D">
            <w:pPr>
              <w:spacing w:line="360" w:lineRule="auto"/>
              <w:jc w:val="center"/>
              <w:rPr>
                <w:sz w:val="26"/>
                <w:szCs w:val="26"/>
              </w:rPr>
            </w:pPr>
          </w:p>
        </w:tc>
        <w:tc>
          <w:tcPr>
            <w:tcW w:w="1281" w:type="dxa"/>
            <w:tcBorders>
              <w:top w:val="nil"/>
              <w:left w:val="nil"/>
              <w:bottom w:val="nil"/>
              <w:right w:val="nil"/>
            </w:tcBorders>
            <w:shd w:val="clear" w:color="auto" w:fill="auto"/>
            <w:noWrap/>
            <w:tcMar>
              <w:top w:w="15" w:type="dxa"/>
              <w:left w:w="15" w:type="dxa"/>
              <w:bottom w:w="0" w:type="dxa"/>
              <w:right w:w="15" w:type="dxa"/>
            </w:tcMar>
            <w:vAlign w:val="bottom"/>
            <w:hideMark/>
          </w:tcPr>
          <w:p w14:paraId="5E1909DF" w14:textId="77777777" w:rsidR="00C544F5" w:rsidRPr="00440785" w:rsidRDefault="00C544F5" w:rsidP="0011213D">
            <w:pPr>
              <w:spacing w:line="360" w:lineRule="auto"/>
              <w:jc w:val="center"/>
              <w:rPr>
                <w:sz w:val="26"/>
                <w:szCs w:val="2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19C9445" w14:textId="77777777" w:rsidR="00C544F5" w:rsidRPr="00440785" w:rsidRDefault="00C544F5" w:rsidP="0011213D">
            <w:pPr>
              <w:spacing w:line="360" w:lineRule="auto"/>
              <w:jc w:val="center"/>
              <w:rPr>
                <w:sz w:val="26"/>
                <w:szCs w:val="2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EF0CFE3" w14:textId="77777777" w:rsidR="00C544F5" w:rsidRPr="00440785" w:rsidRDefault="00C544F5" w:rsidP="0011213D">
            <w:pPr>
              <w:spacing w:line="360" w:lineRule="auto"/>
              <w:jc w:val="center"/>
              <w:rPr>
                <w:sz w:val="26"/>
                <w:szCs w:val="26"/>
              </w:rPr>
            </w:pPr>
          </w:p>
        </w:tc>
      </w:tr>
      <w:tr w:rsidR="00C544F5" w:rsidRPr="00440785" w14:paraId="208C8305" w14:textId="77777777" w:rsidTr="00C544F5">
        <w:trPr>
          <w:trHeight w:val="219"/>
          <w:jc w:val="center"/>
        </w:trPr>
        <w:tc>
          <w:tcPr>
            <w:tcW w:w="4353" w:type="dxa"/>
            <w:tcBorders>
              <w:top w:val="nil"/>
              <w:left w:val="nil"/>
              <w:bottom w:val="nil"/>
              <w:right w:val="nil"/>
            </w:tcBorders>
            <w:shd w:val="clear" w:color="auto" w:fill="auto"/>
            <w:noWrap/>
            <w:tcMar>
              <w:top w:w="15" w:type="dxa"/>
              <w:left w:w="15" w:type="dxa"/>
              <w:bottom w:w="0" w:type="dxa"/>
              <w:right w:w="15" w:type="dxa"/>
            </w:tcMar>
            <w:vAlign w:val="bottom"/>
            <w:hideMark/>
          </w:tcPr>
          <w:p w14:paraId="4B0BD495" w14:textId="77777777" w:rsidR="00C544F5" w:rsidRPr="00440785" w:rsidRDefault="00C544F5" w:rsidP="0011213D">
            <w:pPr>
              <w:spacing w:line="360" w:lineRule="auto"/>
              <w:rPr>
                <w:sz w:val="26"/>
                <w:szCs w:val="26"/>
              </w:rPr>
            </w:pPr>
            <w:r w:rsidRPr="00440785">
              <w:rPr>
                <w:sz w:val="26"/>
                <w:szCs w:val="26"/>
              </w:rPr>
              <w:t>Tiểu học</w:t>
            </w:r>
          </w:p>
        </w:tc>
        <w:tc>
          <w:tcPr>
            <w:tcW w:w="1559" w:type="dxa"/>
            <w:tcBorders>
              <w:top w:val="nil"/>
              <w:left w:val="nil"/>
              <w:bottom w:val="nil"/>
              <w:right w:val="nil"/>
            </w:tcBorders>
            <w:shd w:val="clear" w:color="auto" w:fill="auto"/>
            <w:noWrap/>
            <w:tcMar>
              <w:top w:w="15" w:type="dxa"/>
              <w:left w:w="15" w:type="dxa"/>
              <w:bottom w:w="0" w:type="dxa"/>
              <w:right w:w="15" w:type="dxa"/>
            </w:tcMar>
            <w:vAlign w:val="bottom"/>
            <w:hideMark/>
          </w:tcPr>
          <w:p w14:paraId="1FE72C0D" w14:textId="77777777" w:rsidR="00C544F5" w:rsidRPr="00440785" w:rsidRDefault="00C544F5" w:rsidP="0011213D">
            <w:pPr>
              <w:spacing w:line="360" w:lineRule="auto"/>
              <w:jc w:val="center"/>
              <w:rPr>
                <w:sz w:val="26"/>
                <w:szCs w:val="26"/>
              </w:rPr>
            </w:pPr>
            <w:r w:rsidRPr="00440785">
              <w:rPr>
                <w:sz w:val="26"/>
                <w:szCs w:val="26"/>
              </w:rPr>
              <w:t>Tham chiếu</w:t>
            </w:r>
          </w:p>
        </w:tc>
        <w:tc>
          <w:tcPr>
            <w:tcW w:w="1281" w:type="dxa"/>
            <w:tcBorders>
              <w:top w:val="nil"/>
              <w:left w:val="nil"/>
              <w:bottom w:val="nil"/>
              <w:right w:val="nil"/>
            </w:tcBorders>
            <w:shd w:val="clear" w:color="auto" w:fill="auto"/>
            <w:noWrap/>
            <w:tcMar>
              <w:top w:w="15" w:type="dxa"/>
              <w:left w:w="15" w:type="dxa"/>
              <w:bottom w:w="0" w:type="dxa"/>
              <w:right w:w="15" w:type="dxa"/>
            </w:tcMar>
            <w:hideMark/>
          </w:tcPr>
          <w:p w14:paraId="0291B2FD" w14:textId="77777777" w:rsidR="00C544F5" w:rsidRPr="00440785" w:rsidRDefault="00C544F5" w:rsidP="0011213D">
            <w:pPr>
              <w:spacing w:line="360" w:lineRule="auto"/>
              <w:rPr>
                <w:sz w:val="26"/>
                <w:szCs w:val="26"/>
              </w:rPr>
            </w:pPr>
            <w:r w:rsidRPr="00440785">
              <w:rPr>
                <w:sz w:val="26"/>
                <w:szCs w:val="26"/>
              </w:rPr>
              <w:t>Tham chiếu</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2A8C333B" w14:textId="77777777" w:rsidR="00C544F5" w:rsidRPr="00440785" w:rsidRDefault="00C544F5" w:rsidP="0011213D">
            <w:pPr>
              <w:spacing w:line="360" w:lineRule="auto"/>
              <w:rPr>
                <w:sz w:val="26"/>
                <w:szCs w:val="26"/>
              </w:rPr>
            </w:pPr>
            <w:r w:rsidRPr="00440785">
              <w:rPr>
                <w:sz w:val="26"/>
                <w:szCs w:val="26"/>
              </w:rPr>
              <w:t>Tham chiếu</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5F96356D" w14:textId="77777777" w:rsidR="00C544F5" w:rsidRPr="00440785" w:rsidRDefault="00C544F5" w:rsidP="0011213D">
            <w:pPr>
              <w:spacing w:line="360" w:lineRule="auto"/>
              <w:rPr>
                <w:sz w:val="26"/>
                <w:szCs w:val="26"/>
              </w:rPr>
            </w:pPr>
            <w:r w:rsidRPr="00440785">
              <w:rPr>
                <w:sz w:val="26"/>
                <w:szCs w:val="26"/>
              </w:rPr>
              <w:t>Tham chiếu</w:t>
            </w:r>
          </w:p>
        </w:tc>
      </w:tr>
      <w:tr w:rsidR="00C544F5" w:rsidRPr="00440785" w14:paraId="5B2F297D" w14:textId="77777777" w:rsidTr="00C544F5">
        <w:trPr>
          <w:trHeight w:val="219"/>
          <w:jc w:val="center"/>
        </w:trPr>
        <w:tc>
          <w:tcPr>
            <w:tcW w:w="4353" w:type="dxa"/>
            <w:tcBorders>
              <w:top w:val="nil"/>
              <w:left w:val="nil"/>
              <w:bottom w:val="nil"/>
              <w:right w:val="nil"/>
            </w:tcBorders>
            <w:shd w:val="clear" w:color="auto" w:fill="auto"/>
            <w:noWrap/>
            <w:tcMar>
              <w:top w:w="15" w:type="dxa"/>
              <w:left w:w="15" w:type="dxa"/>
              <w:bottom w:w="0" w:type="dxa"/>
              <w:right w:w="15" w:type="dxa"/>
            </w:tcMar>
            <w:vAlign w:val="bottom"/>
            <w:hideMark/>
          </w:tcPr>
          <w:p w14:paraId="498B2A49" w14:textId="77777777" w:rsidR="00C544F5" w:rsidRPr="00440785" w:rsidRDefault="00C544F5" w:rsidP="0011213D">
            <w:pPr>
              <w:spacing w:line="360" w:lineRule="auto"/>
              <w:rPr>
                <w:sz w:val="26"/>
                <w:szCs w:val="26"/>
              </w:rPr>
            </w:pPr>
            <w:r w:rsidRPr="00440785">
              <w:rPr>
                <w:sz w:val="26"/>
                <w:szCs w:val="26"/>
              </w:rPr>
              <w:t>THCS</w:t>
            </w:r>
          </w:p>
        </w:tc>
        <w:tc>
          <w:tcPr>
            <w:tcW w:w="1559" w:type="dxa"/>
            <w:tcBorders>
              <w:top w:val="nil"/>
              <w:left w:val="nil"/>
              <w:bottom w:val="nil"/>
              <w:right w:val="nil"/>
            </w:tcBorders>
            <w:shd w:val="clear" w:color="auto" w:fill="auto"/>
            <w:noWrap/>
            <w:tcMar>
              <w:top w:w="15" w:type="dxa"/>
              <w:left w:w="15" w:type="dxa"/>
              <w:bottom w:w="0" w:type="dxa"/>
              <w:right w:w="15" w:type="dxa"/>
            </w:tcMar>
            <w:vAlign w:val="bottom"/>
            <w:hideMark/>
          </w:tcPr>
          <w:p w14:paraId="7AE219B1" w14:textId="77777777" w:rsidR="00C544F5" w:rsidRPr="00440785" w:rsidRDefault="00C544F5" w:rsidP="0011213D">
            <w:pPr>
              <w:spacing w:line="360" w:lineRule="auto"/>
              <w:jc w:val="center"/>
              <w:rPr>
                <w:sz w:val="26"/>
                <w:szCs w:val="26"/>
              </w:rPr>
            </w:pPr>
            <w:r w:rsidRPr="00440785">
              <w:rPr>
                <w:sz w:val="26"/>
                <w:szCs w:val="26"/>
              </w:rPr>
              <w:t>0.290***</w:t>
            </w:r>
          </w:p>
        </w:tc>
        <w:tc>
          <w:tcPr>
            <w:tcW w:w="1281" w:type="dxa"/>
            <w:tcBorders>
              <w:top w:val="nil"/>
              <w:left w:val="nil"/>
              <w:bottom w:val="nil"/>
              <w:right w:val="nil"/>
            </w:tcBorders>
            <w:shd w:val="clear" w:color="auto" w:fill="auto"/>
            <w:noWrap/>
            <w:tcMar>
              <w:top w:w="15" w:type="dxa"/>
              <w:left w:w="15" w:type="dxa"/>
              <w:bottom w:w="0" w:type="dxa"/>
              <w:right w:w="15" w:type="dxa"/>
            </w:tcMar>
            <w:vAlign w:val="bottom"/>
            <w:hideMark/>
          </w:tcPr>
          <w:p w14:paraId="4F00A013" w14:textId="77777777" w:rsidR="00C544F5" w:rsidRPr="00440785" w:rsidRDefault="00C544F5" w:rsidP="0011213D">
            <w:pPr>
              <w:spacing w:line="360" w:lineRule="auto"/>
              <w:jc w:val="center"/>
              <w:rPr>
                <w:sz w:val="26"/>
                <w:szCs w:val="26"/>
              </w:rPr>
            </w:pPr>
            <w:r w:rsidRPr="00440785">
              <w:rPr>
                <w:sz w:val="26"/>
                <w:szCs w:val="26"/>
              </w:rPr>
              <w:t>0.286***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609CDA5" w14:textId="77777777" w:rsidR="00C544F5" w:rsidRPr="00440785" w:rsidRDefault="00C544F5" w:rsidP="0011213D">
            <w:pPr>
              <w:spacing w:line="360" w:lineRule="auto"/>
              <w:jc w:val="center"/>
              <w:rPr>
                <w:sz w:val="26"/>
                <w:szCs w:val="26"/>
              </w:rPr>
            </w:pPr>
            <w:r w:rsidRPr="00440785">
              <w:rPr>
                <w:sz w:val="26"/>
                <w:szCs w:val="26"/>
              </w:rPr>
              <w:t>0.284***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1231D7E" w14:textId="77777777" w:rsidR="00C544F5" w:rsidRPr="00440785" w:rsidRDefault="00C544F5" w:rsidP="0011213D">
            <w:pPr>
              <w:spacing w:line="360" w:lineRule="auto"/>
              <w:jc w:val="center"/>
              <w:rPr>
                <w:sz w:val="26"/>
                <w:szCs w:val="26"/>
              </w:rPr>
            </w:pPr>
            <w:r w:rsidRPr="00440785">
              <w:rPr>
                <w:sz w:val="26"/>
                <w:szCs w:val="26"/>
              </w:rPr>
              <w:t>0.297***</w:t>
            </w:r>
          </w:p>
        </w:tc>
      </w:tr>
      <w:tr w:rsidR="00C544F5" w:rsidRPr="00440785" w14:paraId="316993AA" w14:textId="77777777" w:rsidTr="00C544F5">
        <w:trPr>
          <w:trHeight w:val="219"/>
          <w:jc w:val="center"/>
        </w:trPr>
        <w:tc>
          <w:tcPr>
            <w:tcW w:w="4353" w:type="dxa"/>
            <w:tcBorders>
              <w:top w:val="nil"/>
              <w:left w:val="nil"/>
              <w:bottom w:val="nil"/>
              <w:right w:val="nil"/>
            </w:tcBorders>
            <w:shd w:val="clear" w:color="auto" w:fill="auto"/>
            <w:noWrap/>
            <w:tcMar>
              <w:top w:w="15" w:type="dxa"/>
              <w:left w:w="15" w:type="dxa"/>
              <w:bottom w:w="0" w:type="dxa"/>
              <w:right w:w="15" w:type="dxa"/>
            </w:tcMar>
            <w:vAlign w:val="bottom"/>
            <w:hideMark/>
          </w:tcPr>
          <w:p w14:paraId="3B577B86" w14:textId="77777777" w:rsidR="00C544F5" w:rsidRPr="00440785" w:rsidRDefault="00C544F5" w:rsidP="0011213D">
            <w:pPr>
              <w:spacing w:line="360" w:lineRule="auto"/>
              <w:jc w:val="center"/>
              <w:rPr>
                <w:sz w:val="26"/>
                <w:szCs w:val="26"/>
              </w:rPr>
            </w:pPr>
          </w:p>
        </w:tc>
        <w:tc>
          <w:tcPr>
            <w:tcW w:w="1559" w:type="dxa"/>
            <w:tcBorders>
              <w:top w:val="nil"/>
              <w:left w:val="nil"/>
              <w:bottom w:val="nil"/>
              <w:right w:val="nil"/>
            </w:tcBorders>
            <w:shd w:val="clear" w:color="auto" w:fill="auto"/>
            <w:noWrap/>
            <w:tcMar>
              <w:top w:w="15" w:type="dxa"/>
              <w:left w:w="15" w:type="dxa"/>
              <w:bottom w:w="0" w:type="dxa"/>
              <w:right w:w="15" w:type="dxa"/>
            </w:tcMar>
            <w:vAlign w:val="bottom"/>
            <w:hideMark/>
          </w:tcPr>
          <w:p w14:paraId="262A98BA" w14:textId="77777777" w:rsidR="00C544F5" w:rsidRPr="00440785" w:rsidRDefault="00C544F5" w:rsidP="0011213D">
            <w:pPr>
              <w:spacing w:line="360" w:lineRule="auto"/>
              <w:jc w:val="center"/>
              <w:rPr>
                <w:sz w:val="26"/>
                <w:szCs w:val="26"/>
              </w:rPr>
            </w:pPr>
            <w:r w:rsidRPr="00440785">
              <w:rPr>
                <w:sz w:val="26"/>
                <w:szCs w:val="26"/>
              </w:rPr>
              <w:t>(0.006)</w:t>
            </w:r>
          </w:p>
        </w:tc>
        <w:tc>
          <w:tcPr>
            <w:tcW w:w="1281" w:type="dxa"/>
            <w:tcBorders>
              <w:top w:val="nil"/>
              <w:left w:val="nil"/>
              <w:bottom w:val="nil"/>
              <w:right w:val="nil"/>
            </w:tcBorders>
            <w:shd w:val="clear" w:color="auto" w:fill="auto"/>
            <w:noWrap/>
            <w:tcMar>
              <w:top w:w="15" w:type="dxa"/>
              <w:left w:w="15" w:type="dxa"/>
              <w:bottom w:w="0" w:type="dxa"/>
              <w:right w:w="15" w:type="dxa"/>
            </w:tcMar>
            <w:vAlign w:val="bottom"/>
            <w:hideMark/>
          </w:tcPr>
          <w:p w14:paraId="4B31D144" w14:textId="77777777" w:rsidR="00C544F5" w:rsidRPr="00440785" w:rsidRDefault="00C544F5" w:rsidP="0011213D">
            <w:pPr>
              <w:spacing w:line="360" w:lineRule="auto"/>
              <w:jc w:val="center"/>
              <w:rPr>
                <w:sz w:val="26"/>
                <w:szCs w:val="26"/>
              </w:rPr>
            </w:pPr>
            <w:r w:rsidRPr="00440785">
              <w:rPr>
                <w:sz w:val="26"/>
                <w:szCs w:val="26"/>
              </w:rPr>
              <w:t>(0.006)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135F24C" w14:textId="77777777" w:rsidR="00C544F5" w:rsidRPr="00440785" w:rsidRDefault="00C544F5" w:rsidP="0011213D">
            <w:pPr>
              <w:spacing w:line="360" w:lineRule="auto"/>
              <w:jc w:val="center"/>
              <w:rPr>
                <w:sz w:val="26"/>
                <w:szCs w:val="26"/>
              </w:rPr>
            </w:pPr>
            <w:r w:rsidRPr="00440785">
              <w:rPr>
                <w:sz w:val="26"/>
                <w:szCs w:val="26"/>
              </w:rPr>
              <w:t>(0.006)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D9D2A39" w14:textId="77777777" w:rsidR="00C544F5" w:rsidRPr="00440785" w:rsidRDefault="00C544F5" w:rsidP="0011213D">
            <w:pPr>
              <w:spacing w:line="360" w:lineRule="auto"/>
              <w:jc w:val="center"/>
              <w:rPr>
                <w:sz w:val="26"/>
                <w:szCs w:val="26"/>
              </w:rPr>
            </w:pPr>
            <w:r w:rsidRPr="00440785">
              <w:rPr>
                <w:sz w:val="26"/>
                <w:szCs w:val="26"/>
              </w:rPr>
              <w:t>(0.006)</w:t>
            </w:r>
          </w:p>
        </w:tc>
      </w:tr>
      <w:tr w:rsidR="00C544F5" w:rsidRPr="00440785" w14:paraId="44C7C4DD" w14:textId="77777777" w:rsidTr="00C544F5">
        <w:trPr>
          <w:trHeight w:val="219"/>
          <w:jc w:val="center"/>
        </w:trPr>
        <w:tc>
          <w:tcPr>
            <w:tcW w:w="4353" w:type="dxa"/>
            <w:tcBorders>
              <w:top w:val="nil"/>
              <w:left w:val="nil"/>
              <w:bottom w:val="nil"/>
              <w:right w:val="nil"/>
            </w:tcBorders>
            <w:shd w:val="clear" w:color="auto" w:fill="auto"/>
            <w:noWrap/>
            <w:tcMar>
              <w:top w:w="15" w:type="dxa"/>
              <w:left w:w="15" w:type="dxa"/>
              <w:bottom w:w="0" w:type="dxa"/>
              <w:right w:w="15" w:type="dxa"/>
            </w:tcMar>
            <w:vAlign w:val="bottom"/>
            <w:hideMark/>
          </w:tcPr>
          <w:p w14:paraId="3A52BB1F" w14:textId="77777777" w:rsidR="00C544F5" w:rsidRPr="00440785" w:rsidRDefault="00C544F5" w:rsidP="0011213D">
            <w:pPr>
              <w:spacing w:line="360" w:lineRule="auto"/>
              <w:rPr>
                <w:sz w:val="26"/>
                <w:szCs w:val="26"/>
              </w:rPr>
            </w:pPr>
            <w:r w:rsidRPr="00440785">
              <w:rPr>
                <w:sz w:val="26"/>
                <w:szCs w:val="26"/>
              </w:rPr>
              <w:t>THPT</w:t>
            </w:r>
          </w:p>
        </w:tc>
        <w:tc>
          <w:tcPr>
            <w:tcW w:w="1559" w:type="dxa"/>
            <w:tcBorders>
              <w:top w:val="nil"/>
              <w:left w:val="nil"/>
              <w:bottom w:val="nil"/>
              <w:right w:val="nil"/>
            </w:tcBorders>
            <w:shd w:val="clear" w:color="auto" w:fill="auto"/>
            <w:noWrap/>
            <w:tcMar>
              <w:top w:w="15" w:type="dxa"/>
              <w:left w:w="15" w:type="dxa"/>
              <w:bottom w:w="0" w:type="dxa"/>
              <w:right w:w="15" w:type="dxa"/>
            </w:tcMar>
            <w:vAlign w:val="bottom"/>
            <w:hideMark/>
          </w:tcPr>
          <w:p w14:paraId="12E1705A" w14:textId="77777777" w:rsidR="00C544F5" w:rsidRPr="00440785" w:rsidRDefault="00C544F5" w:rsidP="0011213D">
            <w:pPr>
              <w:spacing w:line="360" w:lineRule="auto"/>
              <w:jc w:val="center"/>
              <w:rPr>
                <w:sz w:val="26"/>
                <w:szCs w:val="26"/>
              </w:rPr>
            </w:pPr>
            <w:r w:rsidRPr="00440785">
              <w:rPr>
                <w:sz w:val="26"/>
                <w:szCs w:val="26"/>
              </w:rPr>
              <w:t>0.665***</w:t>
            </w:r>
          </w:p>
        </w:tc>
        <w:tc>
          <w:tcPr>
            <w:tcW w:w="1281" w:type="dxa"/>
            <w:tcBorders>
              <w:top w:val="nil"/>
              <w:left w:val="nil"/>
              <w:bottom w:val="nil"/>
              <w:right w:val="nil"/>
            </w:tcBorders>
            <w:shd w:val="clear" w:color="auto" w:fill="auto"/>
            <w:noWrap/>
            <w:tcMar>
              <w:top w:w="15" w:type="dxa"/>
              <w:left w:w="15" w:type="dxa"/>
              <w:bottom w:w="0" w:type="dxa"/>
              <w:right w:w="15" w:type="dxa"/>
            </w:tcMar>
            <w:vAlign w:val="bottom"/>
            <w:hideMark/>
          </w:tcPr>
          <w:p w14:paraId="6D9FE93C" w14:textId="77777777" w:rsidR="00C544F5" w:rsidRPr="00440785" w:rsidRDefault="00C544F5" w:rsidP="0011213D">
            <w:pPr>
              <w:spacing w:line="360" w:lineRule="auto"/>
              <w:jc w:val="center"/>
              <w:rPr>
                <w:sz w:val="26"/>
                <w:szCs w:val="26"/>
              </w:rPr>
            </w:pPr>
            <w:r w:rsidRPr="00440785">
              <w:rPr>
                <w:sz w:val="26"/>
                <w:szCs w:val="26"/>
              </w:rPr>
              <w:t>0.594***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AC39A02" w14:textId="77777777" w:rsidR="00C544F5" w:rsidRPr="00440785" w:rsidRDefault="00C544F5" w:rsidP="0011213D">
            <w:pPr>
              <w:spacing w:line="360" w:lineRule="auto"/>
              <w:jc w:val="center"/>
              <w:rPr>
                <w:sz w:val="26"/>
                <w:szCs w:val="26"/>
              </w:rPr>
            </w:pPr>
            <w:r w:rsidRPr="00440785">
              <w:rPr>
                <w:sz w:val="26"/>
                <w:szCs w:val="26"/>
              </w:rPr>
              <w:t>0.592***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CF81844" w14:textId="77777777" w:rsidR="00C544F5" w:rsidRPr="00440785" w:rsidRDefault="00C544F5" w:rsidP="0011213D">
            <w:pPr>
              <w:spacing w:line="360" w:lineRule="auto"/>
              <w:jc w:val="center"/>
              <w:rPr>
                <w:sz w:val="26"/>
                <w:szCs w:val="26"/>
              </w:rPr>
            </w:pPr>
            <w:r w:rsidRPr="00440785">
              <w:rPr>
                <w:sz w:val="26"/>
                <w:szCs w:val="26"/>
              </w:rPr>
              <w:t>0.592***</w:t>
            </w:r>
          </w:p>
        </w:tc>
      </w:tr>
      <w:tr w:rsidR="00C544F5" w:rsidRPr="00440785" w14:paraId="6F20481B" w14:textId="77777777" w:rsidTr="00C544F5">
        <w:trPr>
          <w:trHeight w:val="219"/>
          <w:jc w:val="center"/>
        </w:trPr>
        <w:tc>
          <w:tcPr>
            <w:tcW w:w="4353" w:type="dxa"/>
            <w:tcBorders>
              <w:top w:val="nil"/>
              <w:left w:val="nil"/>
              <w:bottom w:val="nil"/>
              <w:right w:val="nil"/>
            </w:tcBorders>
            <w:shd w:val="clear" w:color="auto" w:fill="auto"/>
            <w:noWrap/>
            <w:tcMar>
              <w:top w:w="15" w:type="dxa"/>
              <w:left w:w="15" w:type="dxa"/>
              <w:bottom w:w="0" w:type="dxa"/>
              <w:right w:w="15" w:type="dxa"/>
            </w:tcMar>
            <w:vAlign w:val="bottom"/>
            <w:hideMark/>
          </w:tcPr>
          <w:p w14:paraId="3ED83C29" w14:textId="77777777" w:rsidR="00C544F5" w:rsidRPr="00440785" w:rsidRDefault="00C544F5" w:rsidP="0011213D">
            <w:pPr>
              <w:spacing w:line="360" w:lineRule="auto"/>
              <w:jc w:val="center"/>
              <w:rPr>
                <w:sz w:val="26"/>
                <w:szCs w:val="26"/>
              </w:rPr>
            </w:pPr>
          </w:p>
        </w:tc>
        <w:tc>
          <w:tcPr>
            <w:tcW w:w="1559" w:type="dxa"/>
            <w:tcBorders>
              <w:top w:val="nil"/>
              <w:left w:val="nil"/>
              <w:bottom w:val="nil"/>
              <w:right w:val="nil"/>
            </w:tcBorders>
            <w:shd w:val="clear" w:color="auto" w:fill="auto"/>
            <w:noWrap/>
            <w:tcMar>
              <w:top w:w="15" w:type="dxa"/>
              <w:left w:w="15" w:type="dxa"/>
              <w:bottom w:w="0" w:type="dxa"/>
              <w:right w:w="15" w:type="dxa"/>
            </w:tcMar>
            <w:vAlign w:val="bottom"/>
            <w:hideMark/>
          </w:tcPr>
          <w:p w14:paraId="0888BDA0" w14:textId="77777777" w:rsidR="00C544F5" w:rsidRPr="00440785" w:rsidRDefault="00C544F5" w:rsidP="0011213D">
            <w:pPr>
              <w:spacing w:line="360" w:lineRule="auto"/>
              <w:jc w:val="center"/>
              <w:rPr>
                <w:sz w:val="26"/>
                <w:szCs w:val="26"/>
              </w:rPr>
            </w:pPr>
            <w:r w:rsidRPr="00440785">
              <w:rPr>
                <w:sz w:val="26"/>
                <w:szCs w:val="26"/>
              </w:rPr>
              <w:t>(0.011)</w:t>
            </w:r>
          </w:p>
        </w:tc>
        <w:tc>
          <w:tcPr>
            <w:tcW w:w="1281" w:type="dxa"/>
            <w:tcBorders>
              <w:top w:val="nil"/>
              <w:left w:val="nil"/>
              <w:bottom w:val="nil"/>
              <w:right w:val="nil"/>
            </w:tcBorders>
            <w:shd w:val="clear" w:color="auto" w:fill="auto"/>
            <w:noWrap/>
            <w:tcMar>
              <w:top w:w="15" w:type="dxa"/>
              <w:left w:w="15" w:type="dxa"/>
              <w:bottom w:w="0" w:type="dxa"/>
              <w:right w:w="15" w:type="dxa"/>
            </w:tcMar>
            <w:vAlign w:val="bottom"/>
            <w:hideMark/>
          </w:tcPr>
          <w:p w14:paraId="00DF569B" w14:textId="77777777" w:rsidR="00C544F5" w:rsidRPr="00440785" w:rsidRDefault="00C544F5" w:rsidP="0011213D">
            <w:pPr>
              <w:spacing w:line="360" w:lineRule="auto"/>
              <w:jc w:val="center"/>
              <w:rPr>
                <w:sz w:val="26"/>
                <w:szCs w:val="26"/>
              </w:rPr>
            </w:pPr>
            <w:r w:rsidRPr="00440785">
              <w:rPr>
                <w:sz w:val="26"/>
                <w:szCs w:val="26"/>
              </w:rPr>
              <w:t>(0.011)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30A239F" w14:textId="77777777" w:rsidR="00C544F5" w:rsidRPr="00440785" w:rsidRDefault="00C544F5" w:rsidP="0011213D">
            <w:pPr>
              <w:spacing w:line="360" w:lineRule="auto"/>
              <w:jc w:val="center"/>
              <w:rPr>
                <w:sz w:val="26"/>
                <w:szCs w:val="26"/>
              </w:rPr>
            </w:pPr>
            <w:r w:rsidRPr="00440785">
              <w:rPr>
                <w:sz w:val="26"/>
                <w:szCs w:val="26"/>
              </w:rPr>
              <w:t>(0.011)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7053DCB" w14:textId="77777777" w:rsidR="00C544F5" w:rsidRPr="00440785" w:rsidRDefault="00C544F5" w:rsidP="0011213D">
            <w:pPr>
              <w:spacing w:line="360" w:lineRule="auto"/>
              <w:jc w:val="center"/>
              <w:rPr>
                <w:sz w:val="26"/>
                <w:szCs w:val="26"/>
              </w:rPr>
            </w:pPr>
            <w:r w:rsidRPr="00440785">
              <w:rPr>
                <w:sz w:val="26"/>
                <w:szCs w:val="26"/>
              </w:rPr>
              <w:t>(0.011)</w:t>
            </w:r>
          </w:p>
        </w:tc>
      </w:tr>
      <w:tr w:rsidR="00C544F5" w:rsidRPr="00440785" w14:paraId="039788CA" w14:textId="77777777" w:rsidTr="00C544F5">
        <w:trPr>
          <w:trHeight w:val="219"/>
          <w:jc w:val="center"/>
        </w:trPr>
        <w:tc>
          <w:tcPr>
            <w:tcW w:w="4353" w:type="dxa"/>
            <w:tcBorders>
              <w:top w:val="nil"/>
              <w:left w:val="nil"/>
              <w:bottom w:val="nil"/>
              <w:right w:val="nil"/>
            </w:tcBorders>
            <w:shd w:val="clear" w:color="auto" w:fill="auto"/>
            <w:noWrap/>
            <w:tcMar>
              <w:top w:w="15" w:type="dxa"/>
              <w:left w:w="15" w:type="dxa"/>
              <w:bottom w:w="0" w:type="dxa"/>
              <w:right w:w="15" w:type="dxa"/>
            </w:tcMar>
            <w:vAlign w:val="bottom"/>
            <w:hideMark/>
          </w:tcPr>
          <w:p w14:paraId="447B3493" w14:textId="77777777" w:rsidR="00C544F5" w:rsidRPr="00440785" w:rsidRDefault="00C544F5" w:rsidP="0011213D">
            <w:pPr>
              <w:spacing w:line="360" w:lineRule="auto"/>
              <w:rPr>
                <w:sz w:val="26"/>
                <w:szCs w:val="26"/>
              </w:rPr>
            </w:pPr>
            <w:r w:rsidRPr="00440785">
              <w:rPr>
                <w:sz w:val="26"/>
                <w:szCs w:val="26"/>
              </w:rPr>
              <w:t>Trên THPT</w:t>
            </w:r>
          </w:p>
        </w:tc>
        <w:tc>
          <w:tcPr>
            <w:tcW w:w="1559" w:type="dxa"/>
            <w:tcBorders>
              <w:top w:val="nil"/>
              <w:left w:val="nil"/>
              <w:bottom w:val="nil"/>
              <w:right w:val="nil"/>
            </w:tcBorders>
            <w:shd w:val="clear" w:color="auto" w:fill="auto"/>
            <w:noWrap/>
            <w:tcMar>
              <w:top w:w="15" w:type="dxa"/>
              <w:left w:w="15" w:type="dxa"/>
              <w:bottom w:w="0" w:type="dxa"/>
              <w:right w:w="15" w:type="dxa"/>
            </w:tcMar>
            <w:vAlign w:val="bottom"/>
            <w:hideMark/>
          </w:tcPr>
          <w:p w14:paraId="459CB7E7" w14:textId="77777777" w:rsidR="00C544F5" w:rsidRPr="00440785" w:rsidRDefault="00C544F5" w:rsidP="0011213D">
            <w:pPr>
              <w:spacing w:line="360" w:lineRule="auto"/>
              <w:jc w:val="center"/>
              <w:rPr>
                <w:sz w:val="26"/>
                <w:szCs w:val="26"/>
              </w:rPr>
            </w:pPr>
            <w:r w:rsidRPr="00440785">
              <w:rPr>
                <w:sz w:val="26"/>
                <w:szCs w:val="26"/>
              </w:rPr>
              <w:t>0.070***</w:t>
            </w:r>
          </w:p>
        </w:tc>
        <w:tc>
          <w:tcPr>
            <w:tcW w:w="1281" w:type="dxa"/>
            <w:tcBorders>
              <w:top w:val="nil"/>
              <w:left w:val="nil"/>
              <w:bottom w:val="nil"/>
              <w:right w:val="nil"/>
            </w:tcBorders>
            <w:shd w:val="clear" w:color="auto" w:fill="auto"/>
            <w:noWrap/>
            <w:tcMar>
              <w:top w:w="15" w:type="dxa"/>
              <w:left w:w="15" w:type="dxa"/>
              <w:bottom w:w="0" w:type="dxa"/>
              <w:right w:w="15" w:type="dxa"/>
            </w:tcMar>
            <w:vAlign w:val="bottom"/>
            <w:hideMark/>
          </w:tcPr>
          <w:p w14:paraId="28480438" w14:textId="77777777" w:rsidR="00C544F5" w:rsidRPr="00440785" w:rsidRDefault="00C544F5" w:rsidP="0011213D">
            <w:pPr>
              <w:spacing w:line="360" w:lineRule="auto"/>
              <w:jc w:val="center"/>
              <w:rPr>
                <w:sz w:val="26"/>
                <w:szCs w:val="26"/>
              </w:rPr>
            </w:pPr>
            <w:r w:rsidRPr="00440785">
              <w:rPr>
                <w:sz w:val="26"/>
                <w:szCs w:val="26"/>
              </w:rPr>
              <w:t>0.110***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DD69003" w14:textId="77777777" w:rsidR="00C544F5" w:rsidRPr="00440785" w:rsidRDefault="00C544F5" w:rsidP="0011213D">
            <w:pPr>
              <w:spacing w:line="360" w:lineRule="auto"/>
              <w:jc w:val="center"/>
              <w:rPr>
                <w:sz w:val="26"/>
                <w:szCs w:val="26"/>
              </w:rPr>
            </w:pPr>
            <w:r w:rsidRPr="00440785">
              <w:rPr>
                <w:sz w:val="26"/>
                <w:szCs w:val="26"/>
              </w:rPr>
              <w:t>0.105***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B5FC1B8" w14:textId="77777777" w:rsidR="00C544F5" w:rsidRPr="00440785" w:rsidRDefault="00C544F5" w:rsidP="0011213D">
            <w:pPr>
              <w:spacing w:line="360" w:lineRule="auto"/>
              <w:jc w:val="center"/>
              <w:rPr>
                <w:sz w:val="26"/>
                <w:szCs w:val="26"/>
              </w:rPr>
            </w:pPr>
            <w:r w:rsidRPr="00440785">
              <w:rPr>
                <w:sz w:val="26"/>
                <w:szCs w:val="26"/>
              </w:rPr>
              <w:t>0.099***</w:t>
            </w:r>
          </w:p>
        </w:tc>
      </w:tr>
      <w:tr w:rsidR="00C544F5" w:rsidRPr="00440785" w14:paraId="5FE220C7" w14:textId="77777777" w:rsidTr="00C544F5">
        <w:trPr>
          <w:trHeight w:val="219"/>
          <w:jc w:val="center"/>
        </w:trPr>
        <w:tc>
          <w:tcPr>
            <w:tcW w:w="4353" w:type="dxa"/>
            <w:tcBorders>
              <w:top w:val="nil"/>
              <w:left w:val="nil"/>
              <w:bottom w:val="nil"/>
              <w:right w:val="nil"/>
            </w:tcBorders>
            <w:shd w:val="clear" w:color="auto" w:fill="auto"/>
            <w:noWrap/>
            <w:tcMar>
              <w:top w:w="15" w:type="dxa"/>
              <w:left w:w="15" w:type="dxa"/>
              <w:bottom w:w="0" w:type="dxa"/>
              <w:right w:w="15" w:type="dxa"/>
            </w:tcMar>
            <w:vAlign w:val="bottom"/>
            <w:hideMark/>
          </w:tcPr>
          <w:p w14:paraId="676751CC" w14:textId="77777777" w:rsidR="00C544F5" w:rsidRPr="00440785" w:rsidRDefault="00C544F5" w:rsidP="0011213D">
            <w:pPr>
              <w:spacing w:line="360" w:lineRule="auto"/>
              <w:jc w:val="center"/>
              <w:rPr>
                <w:sz w:val="26"/>
                <w:szCs w:val="26"/>
              </w:rPr>
            </w:pPr>
          </w:p>
        </w:tc>
        <w:tc>
          <w:tcPr>
            <w:tcW w:w="1559" w:type="dxa"/>
            <w:tcBorders>
              <w:top w:val="nil"/>
              <w:left w:val="nil"/>
              <w:bottom w:val="nil"/>
              <w:right w:val="nil"/>
            </w:tcBorders>
            <w:shd w:val="clear" w:color="auto" w:fill="auto"/>
            <w:noWrap/>
            <w:tcMar>
              <w:top w:w="15" w:type="dxa"/>
              <w:left w:w="15" w:type="dxa"/>
              <w:bottom w:w="0" w:type="dxa"/>
              <w:right w:w="15" w:type="dxa"/>
            </w:tcMar>
            <w:vAlign w:val="bottom"/>
            <w:hideMark/>
          </w:tcPr>
          <w:p w14:paraId="01B9E398" w14:textId="77777777" w:rsidR="00C544F5" w:rsidRPr="00440785" w:rsidRDefault="00C544F5" w:rsidP="0011213D">
            <w:pPr>
              <w:spacing w:line="360" w:lineRule="auto"/>
              <w:jc w:val="center"/>
              <w:rPr>
                <w:sz w:val="26"/>
                <w:szCs w:val="26"/>
              </w:rPr>
            </w:pPr>
            <w:r w:rsidRPr="00440785">
              <w:rPr>
                <w:sz w:val="26"/>
                <w:szCs w:val="26"/>
              </w:rPr>
              <w:t>(0.005)</w:t>
            </w:r>
          </w:p>
        </w:tc>
        <w:tc>
          <w:tcPr>
            <w:tcW w:w="1281" w:type="dxa"/>
            <w:tcBorders>
              <w:top w:val="nil"/>
              <w:left w:val="nil"/>
              <w:bottom w:val="nil"/>
              <w:right w:val="nil"/>
            </w:tcBorders>
            <w:shd w:val="clear" w:color="auto" w:fill="auto"/>
            <w:noWrap/>
            <w:tcMar>
              <w:top w:w="15" w:type="dxa"/>
              <w:left w:w="15" w:type="dxa"/>
              <w:bottom w:w="0" w:type="dxa"/>
              <w:right w:w="15" w:type="dxa"/>
            </w:tcMar>
            <w:vAlign w:val="bottom"/>
            <w:hideMark/>
          </w:tcPr>
          <w:p w14:paraId="535CE196" w14:textId="77777777" w:rsidR="00C544F5" w:rsidRPr="00440785" w:rsidRDefault="00C544F5" w:rsidP="0011213D">
            <w:pPr>
              <w:spacing w:line="360" w:lineRule="auto"/>
              <w:jc w:val="center"/>
              <w:rPr>
                <w:sz w:val="26"/>
                <w:szCs w:val="26"/>
              </w:rPr>
            </w:pPr>
            <w:r w:rsidRPr="00440785">
              <w:rPr>
                <w:sz w:val="26"/>
                <w:szCs w:val="26"/>
              </w:rPr>
              <w:t>(0.005)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D470725" w14:textId="77777777" w:rsidR="00C544F5" w:rsidRPr="00440785" w:rsidRDefault="00C544F5" w:rsidP="0011213D">
            <w:pPr>
              <w:spacing w:line="360" w:lineRule="auto"/>
              <w:jc w:val="center"/>
              <w:rPr>
                <w:sz w:val="26"/>
                <w:szCs w:val="26"/>
              </w:rPr>
            </w:pPr>
            <w:r w:rsidRPr="00440785">
              <w:rPr>
                <w:sz w:val="26"/>
                <w:szCs w:val="26"/>
              </w:rPr>
              <w:t>(0.005)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8E9E425" w14:textId="77777777" w:rsidR="00C544F5" w:rsidRPr="00440785" w:rsidRDefault="00C544F5" w:rsidP="0011213D">
            <w:pPr>
              <w:spacing w:line="360" w:lineRule="auto"/>
              <w:jc w:val="center"/>
              <w:rPr>
                <w:sz w:val="26"/>
                <w:szCs w:val="26"/>
              </w:rPr>
            </w:pPr>
            <w:r w:rsidRPr="00440785">
              <w:rPr>
                <w:sz w:val="26"/>
                <w:szCs w:val="26"/>
              </w:rPr>
              <w:t>(0.005)</w:t>
            </w:r>
          </w:p>
        </w:tc>
      </w:tr>
      <w:tr w:rsidR="00C544F5" w:rsidRPr="00440785" w14:paraId="06FDCAD4" w14:textId="77777777" w:rsidTr="00C544F5">
        <w:trPr>
          <w:trHeight w:val="219"/>
          <w:jc w:val="center"/>
        </w:trPr>
        <w:tc>
          <w:tcPr>
            <w:tcW w:w="4353" w:type="dxa"/>
            <w:tcBorders>
              <w:top w:val="nil"/>
              <w:left w:val="nil"/>
              <w:bottom w:val="nil"/>
              <w:right w:val="nil"/>
            </w:tcBorders>
            <w:shd w:val="clear" w:color="auto" w:fill="auto"/>
            <w:noWrap/>
            <w:tcMar>
              <w:top w:w="15" w:type="dxa"/>
              <w:left w:w="15" w:type="dxa"/>
              <w:bottom w:w="0" w:type="dxa"/>
              <w:right w:w="15" w:type="dxa"/>
            </w:tcMar>
            <w:vAlign w:val="bottom"/>
          </w:tcPr>
          <w:p w14:paraId="01105B1F" w14:textId="4BEE2780" w:rsidR="00C544F5" w:rsidRPr="00440785" w:rsidRDefault="00C544F5" w:rsidP="0011213D">
            <w:pPr>
              <w:spacing w:line="360" w:lineRule="auto"/>
              <w:rPr>
                <w:sz w:val="26"/>
                <w:szCs w:val="26"/>
              </w:rPr>
            </w:pPr>
            <w:r w:rsidRPr="00440785">
              <w:rPr>
                <w:sz w:val="26"/>
                <w:szCs w:val="26"/>
              </w:rPr>
              <w:t>Giới tính chủ hộ</w:t>
            </w:r>
          </w:p>
        </w:tc>
        <w:tc>
          <w:tcPr>
            <w:tcW w:w="1559" w:type="dxa"/>
            <w:tcBorders>
              <w:top w:val="nil"/>
              <w:left w:val="nil"/>
              <w:bottom w:val="nil"/>
              <w:right w:val="nil"/>
            </w:tcBorders>
            <w:shd w:val="clear" w:color="auto" w:fill="auto"/>
            <w:noWrap/>
            <w:tcMar>
              <w:top w:w="15" w:type="dxa"/>
              <w:left w:w="15" w:type="dxa"/>
              <w:bottom w:w="0" w:type="dxa"/>
              <w:right w:w="15" w:type="dxa"/>
            </w:tcMar>
            <w:vAlign w:val="bottom"/>
          </w:tcPr>
          <w:p w14:paraId="6B846C28" w14:textId="77777777" w:rsidR="00C544F5" w:rsidRPr="00440785" w:rsidRDefault="00C544F5" w:rsidP="0011213D">
            <w:pPr>
              <w:spacing w:line="360" w:lineRule="auto"/>
              <w:jc w:val="center"/>
              <w:rPr>
                <w:sz w:val="26"/>
                <w:szCs w:val="26"/>
              </w:rPr>
            </w:pPr>
            <w:r w:rsidRPr="00440785">
              <w:rPr>
                <w:sz w:val="26"/>
                <w:szCs w:val="26"/>
              </w:rPr>
              <w:t>0.409***</w:t>
            </w:r>
          </w:p>
        </w:tc>
        <w:tc>
          <w:tcPr>
            <w:tcW w:w="1281" w:type="dxa"/>
            <w:tcBorders>
              <w:top w:val="nil"/>
              <w:left w:val="nil"/>
              <w:bottom w:val="nil"/>
              <w:right w:val="nil"/>
            </w:tcBorders>
            <w:shd w:val="clear" w:color="auto" w:fill="auto"/>
            <w:noWrap/>
            <w:tcMar>
              <w:top w:w="15" w:type="dxa"/>
              <w:left w:w="15" w:type="dxa"/>
              <w:bottom w:w="0" w:type="dxa"/>
              <w:right w:w="15" w:type="dxa"/>
            </w:tcMar>
            <w:vAlign w:val="bottom"/>
          </w:tcPr>
          <w:p w14:paraId="523627B4" w14:textId="77777777" w:rsidR="00C544F5" w:rsidRPr="00440785" w:rsidRDefault="00C544F5" w:rsidP="0011213D">
            <w:pPr>
              <w:spacing w:line="360" w:lineRule="auto"/>
              <w:jc w:val="center"/>
              <w:rPr>
                <w:sz w:val="26"/>
                <w:szCs w:val="26"/>
              </w:rPr>
            </w:pPr>
            <w:r w:rsidRPr="00440785">
              <w:rPr>
                <w:sz w:val="26"/>
                <w:szCs w:val="26"/>
              </w:rPr>
              <w:t>0.471***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029DFC6F" w14:textId="77777777" w:rsidR="00C544F5" w:rsidRPr="00440785" w:rsidRDefault="00C544F5" w:rsidP="0011213D">
            <w:pPr>
              <w:spacing w:line="360" w:lineRule="auto"/>
              <w:jc w:val="center"/>
              <w:rPr>
                <w:sz w:val="26"/>
                <w:szCs w:val="26"/>
              </w:rPr>
            </w:pPr>
            <w:r w:rsidRPr="00440785">
              <w:rPr>
                <w:sz w:val="26"/>
                <w:szCs w:val="26"/>
              </w:rPr>
              <w:t>0.401***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01E9F237" w14:textId="77777777" w:rsidR="00C544F5" w:rsidRPr="00440785" w:rsidRDefault="00C544F5" w:rsidP="0011213D">
            <w:pPr>
              <w:spacing w:line="360" w:lineRule="auto"/>
              <w:jc w:val="center"/>
              <w:rPr>
                <w:sz w:val="26"/>
                <w:szCs w:val="26"/>
              </w:rPr>
            </w:pPr>
            <w:r w:rsidRPr="00440785">
              <w:rPr>
                <w:sz w:val="26"/>
                <w:szCs w:val="26"/>
              </w:rPr>
              <w:t>0.462***</w:t>
            </w:r>
          </w:p>
        </w:tc>
      </w:tr>
      <w:tr w:rsidR="00C544F5" w:rsidRPr="00440785" w14:paraId="2E69B5E4" w14:textId="77777777" w:rsidTr="00C544F5">
        <w:trPr>
          <w:trHeight w:val="219"/>
          <w:jc w:val="center"/>
        </w:trPr>
        <w:tc>
          <w:tcPr>
            <w:tcW w:w="4353" w:type="dxa"/>
            <w:tcBorders>
              <w:top w:val="nil"/>
              <w:left w:val="nil"/>
              <w:bottom w:val="nil"/>
              <w:right w:val="nil"/>
            </w:tcBorders>
            <w:shd w:val="clear" w:color="auto" w:fill="auto"/>
            <w:noWrap/>
            <w:tcMar>
              <w:top w:w="15" w:type="dxa"/>
              <w:left w:w="15" w:type="dxa"/>
              <w:bottom w:w="0" w:type="dxa"/>
              <w:right w:w="15" w:type="dxa"/>
            </w:tcMar>
            <w:vAlign w:val="bottom"/>
          </w:tcPr>
          <w:p w14:paraId="515ADCE2" w14:textId="77777777" w:rsidR="00C544F5" w:rsidRPr="00440785" w:rsidRDefault="00C544F5" w:rsidP="0011213D">
            <w:pPr>
              <w:spacing w:line="360" w:lineRule="auto"/>
              <w:rPr>
                <w:sz w:val="26"/>
                <w:szCs w:val="26"/>
              </w:rPr>
            </w:pPr>
          </w:p>
        </w:tc>
        <w:tc>
          <w:tcPr>
            <w:tcW w:w="1559" w:type="dxa"/>
            <w:tcBorders>
              <w:top w:val="nil"/>
              <w:left w:val="nil"/>
              <w:bottom w:val="nil"/>
              <w:right w:val="nil"/>
            </w:tcBorders>
            <w:shd w:val="clear" w:color="auto" w:fill="auto"/>
            <w:noWrap/>
            <w:tcMar>
              <w:top w:w="15" w:type="dxa"/>
              <w:left w:w="15" w:type="dxa"/>
              <w:bottom w:w="0" w:type="dxa"/>
              <w:right w:w="15" w:type="dxa"/>
            </w:tcMar>
            <w:vAlign w:val="bottom"/>
          </w:tcPr>
          <w:p w14:paraId="25D8B352" w14:textId="77777777" w:rsidR="00C544F5" w:rsidRPr="00440785" w:rsidRDefault="00C544F5" w:rsidP="0011213D">
            <w:pPr>
              <w:spacing w:line="360" w:lineRule="auto"/>
              <w:jc w:val="center"/>
              <w:rPr>
                <w:sz w:val="26"/>
                <w:szCs w:val="26"/>
              </w:rPr>
            </w:pPr>
            <w:r w:rsidRPr="00440785">
              <w:rPr>
                <w:sz w:val="26"/>
                <w:szCs w:val="26"/>
              </w:rPr>
              <w:t>(0.006)</w:t>
            </w:r>
          </w:p>
        </w:tc>
        <w:tc>
          <w:tcPr>
            <w:tcW w:w="1281" w:type="dxa"/>
            <w:tcBorders>
              <w:top w:val="nil"/>
              <w:left w:val="nil"/>
              <w:bottom w:val="nil"/>
              <w:right w:val="nil"/>
            </w:tcBorders>
            <w:shd w:val="clear" w:color="auto" w:fill="auto"/>
            <w:noWrap/>
            <w:tcMar>
              <w:top w:w="15" w:type="dxa"/>
              <w:left w:w="15" w:type="dxa"/>
              <w:bottom w:w="0" w:type="dxa"/>
              <w:right w:w="15" w:type="dxa"/>
            </w:tcMar>
            <w:vAlign w:val="bottom"/>
          </w:tcPr>
          <w:p w14:paraId="056423AA" w14:textId="77777777" w:rsidR="00C544F5" w:rsidRPr="00440785" w:rsidRDefault="00C544F5" w:rsidP="0011213D">
            <w:pPr>
              <w:spacing w:line="360" w:lineRule="auto"/>
              <w:jc w:val="center"/>
              <w:rPr>
                <w:sz w:val="26"/>
                <w:szCs w:val="26"/>
              </w:rPr>
            </w:pPr>
            <w:r w:rsidRPr="00440785">
              <w:rPr>
                <w:sz w:val="26"/>
                <w:szCs w:val="26"/>
              </w:rPr>
              <w:t>(0.006)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6DB8E02F" w14:textId="77777777" w:rsidR="00C544F5" w:rsidRPr="00440785" w:rsidRDefault="00C544F5" w:rsidP="0011213D">
            <w:pPr>
              <w:spacing w:line="360" w:lineRule="auto"/>
              <w:jc w:val="center"/>
              <w:rPr>
                <w:sz w:val="26"/>
                <w:szCs w:val="26"/>
              </w:rPr>
            </w:pPr>
            <w:r w:rsidRPr="00440785">
              <w:rPr>
                <w:sz w:val="26"/>
                <w:szCs w:val="26"/>
              </w:rPr>
              <w:t>(0.006)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687D6A73" w14:textId="77777777" w:rsidR="00C544F5" w:rsidRPr="00440785" w:rsidRDefault="00C544F5" w:rsidP="0011213D">
            <w:pPr>
              <w:spacing w:line="360" w:lineRule="auto"/>
              <w:jc w:val="center"/>
              <w:rPr>
                <w:sz w:val="26"/>
                <w:szCs w:val="26"/>
              </w:rPr>
            </w:pPr>
            <w:r w:rsidRPr="00440785">
              <w:rPr>
                <w:sz w:val="26"/>
                <w:szCs w:val="26"/>
              </w:rPr>
              <w:t>(0.006)</w:t>
            </w:r>
          </w:p>
        </w:tc>
      </w:tr>
      <w:tr w:rsidR="00C544F5" w:rsidRPr="00440785" w14:paraId="69287513" w14:textId="77777777" w:rsidTr="00C544F5">
        <w:trPr>
          <w:trHeight w:val="219"/>
          <w:jc w:val="center"/>
        </w:trPr>
        <w:tc>
          <w:tcPr>
            <w:tcW w:w="4353" w:type="dxa"/>
            <w:tcBorders>
              <w:top w:val="nil"/>
              <w:left w:val="nil"/>
              <w:bottom w:val="nil"/>
              <w:right w:val="nil"/>
            </w:tcBorders>
            <w:shd w:val="clear" w:color="auto" w:fill="auto"/>
            <w:noWrap/>
            <w:tcMar>
              <w:top w:w="15" w:type="dxa"/>
              <w:left w:w="15" w:type="dxa"/>
              <w:bottom w:w="0" w:type="dxa"/>
              <w:right w:w="15" w:type="dxa"/>
            </w:tcMar>
            <w:vAlign w:val="bottom"/>
          </w:tcPr>
          <w:p w14:paraId="2873A5D3" w14:textId="3128A612" w:rsidR="00C544F5" w:rsidRPr="00440785" w:rsidRDefault="00C544F5" w:rsidP="0011213D">
            <w:pPr>
              <w:spacing w:line="360" w:lineRule="auto"/>
              <w:rPr>
                <w:sz w:val="26"/>
                <w:szCs w:val="26"/>
              </w:rPr>
            </w:pPr>
            <w:r w:rsidRPr="00440785">
              <w:rPr>
                <w:sz w:val="26"/>
                <w:szCs w:val="26"/>
              </w:rPr>
              <w:t>N</w:t>
            </w:r>
            <w:r w:rsidR="003E4C6F" w:rsidRPr="00440785">
              <w:rPr>
                <w:sz w:val="26"/>
                <w:szCs w:val="26"/>
              </w:rPr>
              <w:t>gành nghề</w:t>
            </w:r>
            <w:r w:rsidRPr="00440785">
              <w:rPr>
                <w:sz w:val="26"/>
                <w:szCs w:val="26"/>
              </w:rPr>
              <w:t xml:space="preserve"> chính của chủ hộ </w:t>
            </w:r>
          </w:p>
        </w:tc>
        <w:tc>
          <w:tcPr>
            <w:tcW w:w="1559" w:type="dxa"/>
            <w:tcBorders>
              <w:top w:val="nil"/>
              <w:left w:val="nil"/>
              <w:bottom w:val="nil"/>
              <w:right w:val="nil"/>
            </w:tcBorders>
            <w:shd w:val="clear" w:color="auto" w:fill="auto"/>
            <w:noWrap/>
            <w:tcMar>
              <w:top w:w="15" w:type="dxa"/>
              <w:left w:w="15" w:type="dxa"/>
              <w:bottom w:w="0" w:type="dxa"/>
              <w:right w:w="15" w:type="dxa"/>
            </w:tcMar>
            <w:vAlign w:val="bottom"/>
          </w:tcPr>
          <w:p w14:paraId="77AD59C1" w14:textId="2C353F6F" w:rsidR="00C544F5" w:rsidRPr="00440785" w:rsidRDefault="00C544F5" w:rsidP="0011213D">
            <w:pPr>
              <w:spacing w:line="360" w:lineRule="auto"/>
              <w:jc w:val="center"/>
              <w:rPr>
                <w:sz w:val="26"/>
                <w:szCs w:val="26"/>
              </w:rPr>
            </w:pPr>
            <w:r w:rsidRPr="00440785">
              <w:rPr>
                <w:sz w:val="26"/>
                <w:szCs w:val="26"/>
              </w:rPr>
              <w:t>0.075***</w:t>
            </w:r>
          </w:p>
        </w:tc>
        <w:tc>
          <w:tcPr>
            <w:tcW w:w="1281" w:type="dxa"/>
            <w:tcBorders>
              <w:top w:val="nil"/>
              <w:left w:val="nil"/>
              <w:bottom w:val="nil"/>
              <w:right w:val="nil"/>
            </w:tcBorders>
            <w:shd w:val="clear" w:color="auto" w:fill="auto"/>
            <w:noWrap/>
            <w:tcMar>
              <w:top w:w="15" w:type="dxa"/>
              <w:left w:w="15" w:type="dxa"/>
              <w:bottom w:w="0" w:type="dxa"/>
              <w:right w:w="15" w:type="dxa"/>
            </w:tcMar>
            <w:vAlign w:val="bottom"/>
          </w:tcPr>
          <w:p w14:paraId="5059339A" w14:textId="77777777" w:rsidR="00C544F5" w:rsidRPr="00440785" w:rsidRDefault="00C544F5" w:rsidP="0011213D">
            <w:pPr>
              <w:spacing w:line="360" w:lineRule="auto"/>
              <w:jc w:val="center"/>
              <w:rPr>
                <w:sz w:val="26"/>
                <w:szCs w:val="26"/>
              </w:rPr>
            </w:pPr>
            <w:r w:rsidRPr="00440785">
              <w:rPr>
                <w:sz w:val="26"/>
                <w:szCs w:val="26"/>
              </w:rPr>
              <w:t>0.084***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091D89C5" w14:textId="77777777" w:rsidR="00C544F5" w:rsidRPr="00440785" w:rsidRDefault="00C544F5" w:rsidP="0011213D">
            <w:pPr>
              <w:spacing w:line="360" w:lineRule="auto"/>
              <w:jc w:val="center"/>
              <w:rPr>
                <w:sz w:val="26"/>
                <w:szCs w:val="26"/>
              </w:rPr>
            </w:pPr>
            <w:r w:rsidRPr="00440785">
              <w:rPr>
                <w:sz w:val="26"/>
                <w:szCs w:val="26"/>
              </w:rPr>
              <w:t>0.066***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4D3AF07B" w14:textId="77777777" w:rsidR="00C544F5" w:rsidRPr="00440785" w:rsidRDefault="00C544F5" w:rsidP="0011213D">
            <w:pPr>
              <w:spacing w:line="360" w:lineRule="auto"/>
              <w:jc w:val="center"/>
              <w:rPr>
                <w:sz w:val="26"/>
                <w:szCs w:val="26"/>
              </w:rPr>
            </w:pPr>
            <w:r w:rsidRPr="00440785">
              <w:rPr>
                <w:sz w:val="26"/>
                <w:szCs w:val="26"/>
              </w:rPr>
              <w:t>0.031***</w:t>
            </w:r>
          </w:p>
        </w:tc>
      </w:tr>
      <w:tr w:rsidR="00C544F5" w:rsidRPr="00440785" w14:paraId="1C50626A" w14:textId="77777777" w:rsidTr="00C544F5">
        <w:trPr>
          <w:trHeight w:val="303"/>
          <w:jc w:val="center"/>
        </w:trPr>
        <w:tc>
          <w:tcPr>
            <w:tcW w:w="4353" w:type="dxa"/>
            <w:tcBorders>
              <w:top w:val="nil"/>
              <w:left w:val="nil"/>
              <w:bottom w:val="nil"/>
              <w:right w:val="nil"/>
            </w:tcBorders>
            <w:shd w:val="clear" w:color="auto" w:fill="auto"/>
            <w:noWrap/>
            <w:tcMar>
              <w:top w:w="15" w:type="dxa"/>
              <w:left w:w="15" w:type="dxa"/>
              <w:bottom w:w="0" w:type="dxa"/>
              <w:right w:w="15" w:type="dxa"/>
            </w:tcMar>
            <w:vAlign w:val="bottom"/>
          </w:tcPr>
          <w:p w14:paraId="5020444D" w14:textId="77777777" w:rsidR="00C544F5" w:rsidRPr="00440785" w:rsidRDefault="00C544F5" w:rsidP="0011213D">
            <w:pPr>
              <w:spacing w:line="360" w:lineRule="auto"/>
              <w:rPr>
                <w:sz w:val="26"/>
                <w:szCs w:val="26"/>
              </w:rPr>
            </w:pPr>
          </w:p>
        </w:tc>
        <w:tc>
          <w:tcPr>
            <w:tcW w:w="1559" w:type="dxa"/>
            <w:tcBorders>
              <w:top w:val="nil"/>
              <w:left w:val="nil"/>
              <w:bottom w:val="nil"/>
              <w:right w:val="nil"/>
            </w:tcBorders>
            <w:shd w:val="clear" w:color="auto" w:fill="auto"/>
            <w:noWrap/>
            <w:tcMar>
              <w:top w:w="15" w:type="dxa"/>
              <w:left w:w="15" w:type="dxa"/>
              <w:bottom w:w="0" w:type="dxa"/>
              <w:right w:w="15" w:type="dxa"/>
            </w:tcMar>
            <w:vAlign w:val="bottom"/>
          </w:tcPr>
          <w:p w14:paraId="00E9151E" w14:textId="77777777" w:rsidR="00C544F5" w:rsidRPr="00440785" w:rsidRDefault="00C544F5" w:rsidP="0011213D">
            <w:pPr>
              <w:spacing w:line="360" w:lineRule="auto"/>
              <w:jc w:val="center"/>
              <w:rPr>
                <w:sz w:val="26"/>
                <w:szCs w:val="26"/>
              </w:rPr>
            </w:pPr>
            <w:r w:rsidRPr="00440785">
              <w:rPr>
                <w:sz w:val="26"/>
                <w:szCs w:val="26"/>
              </w:rPr>
              <w:t>(0.005)</w:t>
            </w:r>
          </w:p>
        </w:tc>
        <w:tc>
          <w:tcPr>
            <w:tcW w:w="1281" w:type="dxa"/>
            <w:tcBorders>
              <w:top w:val="nil"/>
              <w:left w:val="nil"/>
              <w:bottom w:val="nil"/>
              <w:right w:val="nil"/>
            </w:tcBorders>
            <w:shd w:val="clear" w:color="auto" w:fill="auto"/>
            <w:noWrap/>
            <w:tcMar>
              <w:top w:w="15" w:type="dxa"/>
              <w:left w:w="15" w:type="dxa"/>
              <w:bottom w:w="0" w:type="dxa"/>
              <w:right w:w="15" w:type="dxa"/>
            </w:tcMar>
            <w:vAlign w:val="bottom"/>
          </w:tcPr>
          <w:p w14:paraId="08DBDCE5" w14:textId="77777777" w:rsidR="00C544F5" w:rsidRPr="00440785" w:rsidRDefault="00C544F5" w:rsidP="0011213D">
            <w:pPr>
              <w:spacing w:line="360" w:lineRule="auto"/>
              <w:jc w:val="center"/>
              <w:rPr>
                <w:sz w:val="26"/>
                <w:szCs w:val="26"/>
              </w:rPr>
            </w:pPr>
            <w:r w:rsidRPr="00440785">
              <w:rPr>
                <w:sz w:val="26"/>
                <w:szCs w:val="26"/>
              </w:rPr>
              <w:t>(0.005)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75B5EB1F" w14:textId="77777777" w:rsidR="00C544F5" w:rsidRPr="00440785" w:rsidRDefault="00C544F5" w:rsidP="0011213D">
            <w:pPr>
              <w:spacing w:line="360" w:lineRule="auto"/>
              <w:jc w:val="center"/>
              <w:rPr>
                <w:sz w:val="26"/>
                <w:szCs w:val="26"/>
              </w:rPr>
            </w:pPr>
            <w:r w:rsidRPr="00440785">
              <w:rPr>
                <w:sz w:val="26"/>
                <w:szCs w:val="26"/>
              </w:rPr>
              <w:t>(0.005)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5F09F6DD" w14:textId="77777777" w:rsidR="00C544F5" w:rsidRPr="00440785" w:rsidRDefault="00C544F5" w:rsidP="0011213D">
            <w:pPr>
              <w:spacing w:line="360" w:lineRule="auto"/>
              <w:jc w:val="center"/>
              <w:rPr>
                <w:sz w:val="26"/>
                <w:szCs w:val="26"/>
              </w:rPr>
            </w:pPr>
            <w:r w:rsidRPr="00440785">
              <w:rPr>
                <w:sz w:val="26"/>
                <w:szCs w:val="26"/>
              </w:rPr>
              <w:t>(0.006)</w:t>
            </w:r>
          </w:p>
        </w:tc>
      </w:tr>
      <w:tr w:rsidR="00C544F5" w:rsidRPr="00440785" w14:paraId="4D908AB3" w14:textId="77777777" w:rsidTr="00C544F5">
        <w:trPr>
          <w:trHeight w:val="219"/>
          <w:jc w:val="center"/>
        </w:trPr>
        <w:tc>
          <w:tcPr>
            <w:tcW w:w="4353" w:type="dxa"/>
            <w:tcBorders>
              <w:top w:val="nil"/>
              <w:left w:val="nil"/>
              <w:bottom w:val="nil"/>
              <w:right w:val="nil"/>
            </w:tcBorders>
            <w:shd w:val="clear" w:color="auto" w:fill="auto"/>
            <w:noWrap/>
            <w:tcMar>
              <w:top w:w="15" w:type="dxa"/>
              <w:left w:w="15" w:type="dxa"/>
              <w:bottom w:w="0" w:type="dxa"/>
              <w:right w:w="15" w:type="dxa"/>
            </w:tcMar>
            <w:vAlign w:val="bottom"/>
          </w:tcPr>
          <w:p w14:paraId="52DC4616" w14:textId="608F41DB" w:rsidR="00C544F5" w:rsidRPr="00440785" w:rsidRDefault="006D7C4B" w:rsidP="0011213D">
            <w:pPr>
              <w:spacing w:line="360" w:lineRule="auto"/>
              <w:rPr>
                <w:sz w:val="26"/>
                <w:szCs w:val="26"/>
              </w:rPr>
            </w:pPr>
            <w:r w:rsidRPr="00440785">
              <w:rPr>
                <w:sz w:val="26"/>
                <w:szCs w:val="26"/>
              </w:rPr>
              <w:t>Chuyên môn</w:t>
            </w:r>
            <w:r w:rsidR="00C544F5" w:rsidRPr="00440785">
              <w:rPr>
                <w:sz w:val="26"/>
                <w:szCs w:val="26"/>
              </w:rPr>
              <w:t xml:space="preserve"> của chủ hộ</w:t>
            </w:r>
          </w:p>
        </w:tc>
        <w:tc>
          <w:tcPr>
            <w:tcW w:w="1559" w:type="dxa"/>
            <w:tcBorders>
              <w:top w:val="nil"/>
              <w:left w:val="nil"/>
              <w:bottom w:val="nil"/>
              <w:right w:val="nil"/>
            </w:tcBorders>
            <w:shd w:val="clear" w:color="auto" w:fill="auto"/>
            <w:noWrap/>
            <w:tcMar>
              <w:top w:w="15" w:type="dxa"/>
              <w:left w:w="15" w:type="dxa"/>
              <w:bottom w:w="0" w:type="dxa"/>
              <w:right w:w="15" w:type="dxa"/>
            </w:tcMar>
            <w:vAlign w:val="bottom"/>
          </w:tcPr>
          <w:p w14:paraId="6779A211" w14:textId="77777777" w:rsidR="00C544F5" w:rsidRPr="00440785" w:rsidRDefault="00C544F5" w:rsidP="0011213D">
            <w:pPr>
              <w:spacing w:line="360" w:lineRule="auto"/>
              <w:jc w:val="center"/>
              <w:rPr>
                <w:sz w:val="26"/>
                <w:szCs w:val="26"/>
              </w:rPr>
            </w:pPr>
            <w:r w:rsidRPr="00440785">
              <w:rPr>
                <w:sz w:val="26"/>
                <w:szCs w:val="26"/>
              </w:rPr>
              <w:t>-0.465***</w:t>
            </w:r>
          </w:p>
        </w:tc>
        <w:tc>
          <w:tcPr>
            <w:tcW w:w="1281" w:type="dxa"/>
            <w:tcBorders>
              <w:top w:val="nil"/>
              <w:left w:val="nil"/>
              <w:bottom w:val="nil"/>
              <w:right w:val="nil"/>
            </w:tcBorders>
            <w:shd w:val="clear" w:color="auto" w:fill="auto"/>
            <w:noWrap/>
            <w:tcMar>
              <w:top w:w="15" w:type="dxa"/>
              <w:left w:w="15" w:type="dxa"/>
              <w:bottom w:w="0" w:type="dxa"/>
              <w:right w:w="15" w:type="dxa"/>
            </w:tcMar>
            <w:vAlign w:val="bottom"/>
          </w:tcPr>
          <w:p w14:paraId="404B4B7B" w14:textId="77777777" w:rsidR="00C544F5" w:rsidRPr="00440785" w:rsidRDefault="00C544F5" w:rsidP="0011213D">
            <w:pPr>
              <w:spacing w:line="360" w:lineRule="auto"/>
              <w:jc w:val="center"/>
              <w:rPr>
                <w:sz w:val="26"/>
                <w:szCs w:val="26"/>
              </w:rPr>
            </w:pPr>
            <w:r w:rsidRPr="00440785">
              <w:rPr>
                <w:sz w:val="26"/>
                <w:szCs w:val="26"/>
              </w:rPr>
              <w:t>-0.269***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239B7757" w14:textId="77777777" w:rsidR="00C544F5" w:rsidRPr="00440785" w:rsidRDefault="00C544F5" w:rsidP="0011213D">
            <w:pPr>
              <w:spacing w:line="360" w:lineRule="auto"/>
              <w:jc w:val="center"/>
              <w:rPr>
                <w:sz w:val="26"/>
                <w:szCs w:val="26"/>
              </w:rPr>
            </w:pPr>
            <w:r w:rsidRPr="00440785">
              <w:rPr>
                <w:sz w:val="26"/>
                <w:szCs w:val="26"/>
              </w:rPr>
              <w:t>-0.267***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1E3E0D4A" w14:textId="77777777" w:rsidR="00C544F5" w:rsidRPr="00440785" w:rsidRDefault="00C544F5" w:rsidP="0011213D">
            <w:pPr>
              <w:spacing w:line="360" w:lineRule="auto"/>
              <w:jc w:val="center"/>
              <w:rPr>
                <w:sz w:val="26"/>
                <w:szCs w:val="26"/>
              </w:rPr>
            </w:pPr>
            <w:r w:rsidRPr="00440785">
              <w:rPr>
                <w:sz w:val="26"/>
                <w:szCs w:val="26"/>
              </w:rPr>
              <w:t>-0.329***</w:t>
            </w:r>
          </w:p>
        </w:tc>
      </w:tr>
      <w:tr w:rsidR="00C544F5" w:rsidRPr="00440785" w14:paraId="32F4FF26" w14:textId="77777777" w:rsidTr="00C544F5">
        <w:trPr>
          <w:trHeight w:val="219"/>
          <w:jc w:val="center"/>
        </w:trPr>
        <w:tc>
          <w:tcPr>
            <w:tcW w:w="4353" w:type="dxa"/>
            <w:tcBorders>
              <w:top w:val="nil"/>
              <w:left w:val="nil"/>
              <w:bottom w:val="nil"/>
              <w:right w:val="nil"/>
            </w:tcBorders>
            <w:shd w:val="clear" w:color="auto" w:fill="auto"/>
            <w:noWrap/>
            <w:tcMar>
              <w:top w:w="15" w:type="dxa"/>
              <w:left w:w="15" w:type="dxa"/>
              <w:bottom w:w="0" w:type="dxa"/>
              <w:right w:w="15" w:type="dxa"/>
            </w:tcMar>
            <w:vAlign w:val="bottom"/>
          </w:tcPr>
          <w:p w14:paraId="3D25E56C" w14:textId="77777777" w:rsidR="00C544F5" w:rsidRPr="00440785" w:rsidRDefault="00C544F5" w:rsidP="0011213D">
            <w:pPr>
              <w:spacing w:line="360" w:lineRule="auto"/>
              <w:rPr>
                <w:sz w:val="26"/>
                <w:szCs w:val="26"/>
              </w:rPr>
            </w:pPr>
          </w:p>
        </w:tc>
        <w:tc>
          <w:tcPr>
            <w:tcW w:w="1559" w:type="dxa"/>
            <w:tcBorders>
              <w:top w:val="nil"/>
              <w:left w:val="nil"/>
              <w:bottom w:val="nil"/>
              <w:right w:val="nil"/>
            </w:tcBorders>
            <w:shd w:val="clear" w:color="auto" w:fill="auto"/>
            <w:noWrap/>
            <w:tcMar>
              <w:top w:w="15" w:type="dxa"/>
              <w:left w:w="15" w:type="dxa"/>
              <w:bottom w:w="0" w:type="dxa"/>
              <w:right w:w="15" w:type="dxa"/>
            </w:tcMar>
            <w:vAlign w:val="bottom"/>
          </w:tcPr>
          <w:p w14:paraId="71DF2564" w14:textId="77777777" w:rsidR="00C544F5" w:rsidRPr="00440785" w:rsidRDefault="00C544F5" w:rsidP="0011213D">
            <w:pPr>
              <w:spacing w:line="360" w:lineRule="auto"/>
              <w:jc w:val="center"/>
              <w:rPr>
                <w:sz w:val="26"/>
                <w:szCs w:val="26"/>
              </w:rPr>
            </w:pPr>
            <w:r w:rsidRPr="00440785">
              <w:rPr>
                <w:sz w:val="26"/>
                <w:szCs w:val="26"/>
              </w:rPr>
              <w:t>(0.009)</w:t>
            </w:r>
          </w:p>
        </w:tc>
        <w:tc>
          <w:tcPr>
            <w:tcW w:w="1281" w:type="dxa"/>
            <w:tcBorders>
              <w:top w:val="nil"/>
              <w:left w:val="nil"/>
              <w:bottom w:val="nil"/>
              <w:right w:val="nil"/>
            </w:tcBorders>
            <w:shd w:val="clear" w:color="auto" w:fill="auto"/>
            <w:noWrap/>
            <w:tcMar>
              <w:top w:w="15" w:type="dxa"/>
              <w:left w:w="15" w:type="dxa"/>
              <w:bottom w:w="0" w:type="dxa"/>
              <w:right w:w="15" w:type="dxa"/>
            </w:tcMar>
            <w:vAlign w:val="bottom"/>
          </w:tcPr>
          <w:p w14:paraId="18AA6045" w14:textId="77777777" w:rsidR="00C544F5" w:rsidRPr="00440785" w:rsidRDefault="00C544F5" w:rsidP="0011213D">
            <w:pPr>
              <w:spacing w:line="360" w:lineRule="auto"/>
              <w:jc w:val="center"/>
              <w:rPr>
                <w:sz w:val="26"/>
                <w:szCs w:val="26"/>
              </w:rPr>
            </w:pPr>
            <w:r w:rsidRPr="00440785">
              <w:rPr>
                <w:sz w:val="26"/>
                <w:szCs w:val="26"/>
              </w:rPr>
              <w:t>(0.009)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5B3C031E" w14:textId="77777777" w:rsidR="00C544F5" w:rsidRPr="00440785" w:rsidRDefault="00C544F5" w:rsidP="0011213D">
            <w:pPr>
              <w:spacing w:line="360" w:lineRule="auto"/>
              <w:jc w:val="center"/>
              <w:rPr>
                <w:sz w:val="26"/>
                <w:szCs w:val="26"/>
              </w:rPr>
            </w:pPr>
            <w:r w:rsidRPr="00440785">
              <w:rPr>
                <w:sz w:val="26"/>
                <w:szCs w:val="26"/>
              </w:rPr>
              <w:t>(0.009)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28507DC0" w14:textId="77777777" w:rsidR="00C544F5" w:rsidRPr="00440785" w:rsidRDefault="00C544F5" w:rsidP="0011213D">
            <w:pPr>
              <w:spacing w:line="360" w:lineRule="auto"/>
              <w:jc w:val="center"/>
              <w:rPr>
                <w:sz w:val="26"/>
                <w:szCs w:val="26"/>
              </w:rPr>
            </w:pPr>
            <w:r w:rsidRPr="00440785">
              <w:rPr>
                <w:sz w:val="26"/>
                <w:szCs w:val="26"/>
              </w:rPr>
              <w:t>(0.009)</w:t>
            </w:r>
          </w:p>
        </w:tc>
      </w:tr>
      <w:tr w:rsidR="00C544F5" w:rsidRPr="00440785" w14:paraId="76444BBB" w14:textId="77777777" w:rsidTr="00C544F5">
        <w:trPr>
          <w:trHeight w:val="219"/>
          <w:jc w:val="center"/>
        </w:trPr>
        <w:tc>
          <w:tcPr>
            <w:tcW w:w="4353" w:type="dxa"/>
            <w:tcBorders>
              <w:top w:val="nil"/>
              <w:left w:val="nil"/>
              <w:bottom w:val="nil"/>
              <w:right w:val="nil"/>
            </w:tcBorders>
            <w:shd w:val="clear" w:color="auto" w:fill="auto"/>
            <w:noWrap/>
            <w:tcMar>
              <w:top w:w="15" w:type="dxa"/>
              <w:left w:w="15" w:type="dxa"/>
              <w:bottom w:w="0" w:type="dxa"/>
              <w:right w:w="15" w:type="dxa"/>
            </w:tcMar>
            <w:vAlign w:val="bottom"/>
            <w:hideMark/>
          </w:tcPr>
          <w:p w14:paraId="7BED2AD2" w14:textId="77777777" w:rsidR="00C544F5" w:rsidRPr="00440785" w:rsidRDefault="00C544F5" w:rsidP="0011213D">
            <w:pPr>
              <w:spacing w:line="360" w:lineRule="auto"/>
              <w:rPr>
                <w:sz w:val="26"/>
                <w:szCs w:val="26"/>
              </w:rPr>
            </w:pPr>
            <w:r w:rsidRPr="00440785">
              <w:rPr>
                <w:sz w:val="26"/>
                <w:szCs w:val="26"/>
              </w:rPr>
              <w:t>Tổng số người trong hộ</w:t>
            </w:r>
          </w:p>
        </w:tc>
        <w:tc>
          <w:tcPr>
            <w:tcW w:w="1559" w:type="dxa"/>
            <w:tcBorders>
              <w:top w:val="nil"/>
              <w:left w:val="nil"/>
              <w:bottom w:val="nil"/>
              <w:right w:val="nil"/>
            </w:tcBorders>
            <w:shd w:val="clear" w:color="auto" w:fill="auto"/>
            <w:noWrap/>
            <w:tcMar>
              <w:top w:w="15" w:type="dxa"/>
              <w:left w:w="15" w:type="dxa"/>
              <w:bottom w:w="0" w:type="dxa"/>
              <w:right w:w="15" w:type="dxa"/>
            </w:tcMar>
            <w:vAlign w:val="bottom"/>
            <w:hideMark/>
          </w:tcPr>
          <w:p w14:paraId="5490A835" w14:textId="77777777" w:rsidR="00C544F5" w:rsidRPr="00440785" w:rsidRDefault="00C544F5" w:rsidP="0011213D">
            <w:pPr>
              <w:spacing w:line="360" w:lineRule="auto"/>
              <w:jc w:val="center"/>
              <w:rPr>
                <w:sz w:val="26"/>
                <w:szCs w:val="26"/>
              </w:rPr>
            </w:pPr>
            <w:r w:rsidRPr="00440785">
              <w:rPr>
                <w:sz w:val="26"/>
                <w:szCs w:val="26"/>
              </w:rPr>
              <w:t>0.069***</w:t>
            </w:r>
          </w:p>
        </w:tc>
        <w:tc>
          <w:tcPr>
            <w:tcW w:w="1281" w:type="dxa"/>
            <w:tcBorders>
              <w:top w:val="nil"/>
              <w:left w:val="nil"/>
              <w:bottom w:val="nil"/>
              <w:right w:val="nil"/>
            </w:tcBorders>
            <w:shd w:val="clear" w:color="auto" w:fill="auto"/>
            <w:noWrap/>
            <w:tcMar>
              <w:top w:w="15" w:type="dxa"/>
              <w:left w:w="15" w:type="dxa"/>
              <w:bottom w:w="0" w:type="dxa"/>
              <w:right w:w="15" w:type="dxa"/>
            </w:tcMar>
            <w:vAlign w:val="bottom"/>
            <w:hideMark/>
          </w:tcPr>
          <w:p w14:paraId="4C91E513" w14:textId="77777777" w:rsidR="00C544F5" w:rsidRPr="00440785" w:rsidRDefault="00C544F5" w:rsidP="0011213D">
            <w:pPr>
              <w:spacing w:line="360" w:lineRule="auto"/>
              <w:jc w:val="center"/>
              <w:rPr>
                <w:sz w:val="26"/>
                <w:szCs w:val="26"/>
              </w:rPr>
            </w:pPr>
            <w:r w:rsidRPr="00440785">
              <w:rPr>
                <w:sz w:val="26"/>
                <w:szCs w:val="26"/>
              </w:rPr>
              <w:t>0.070***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40DF25B" w14:textId="77777777" w:rsidR="00C544F5" w:rsidRPr="00440785" w:rsidRDefault="00C544F5" w:rsidP="0011213D">
            <w:pPr>
              <w:spacing w:line="360" w:lineRule="auto"/>
              <w:jc w:val="center"/>
              <w:rPr>
                <w:sz w:val="26"/>
                <w:szCs w:val="26"/>
              </w:rPr>
            </w:pPr>
            <w:r w:rsidRPr="00440785">
              <w:rPr>
                <w:sz w:val="26"/>
                <w:szCs w:val="26"/>
              </w:rPr>
              <w:t>0.067***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6174879" w14:textId="77777777" w:rsidR="00C544F5" w:rsidRPr="00440785" w:rsidRDefault="00C544F5" w:rsidP="0011213D">
            <w:pPr>
              <w:spacing w:line="360" w:lineRule="auto"/>
              <w:jc w:val="center"/>
              <w:rPr>
                <w:sz w:val="26"/>
                <w:szCs w:val="26"/>
              </w:rPr>
            </w:pPr>
            <w:r w:rsidRPr="00440785">
              <w:rPr>
                <w:sz w:val="26"/>
                <w:szCs w:val="26"/>
              </w:rPr>
              <w:t>0.091***</w:t>
            </w:r>
          </w:p>
        </w:tc>
      </w:tr>
      <w:tr w:rsidR="00C544F5" w:rsidRPr="00440785" w14:paraId="076130DE" w14:textId="77777777" w:rsidTr="00C544F5">
        <w:trPr>
          <w:trHeight w:val="219"/>
          <w:jc w:val="center"/>
        </w:trPr>
        <w:tc>
          <w:tcPr>
            <w:tcW w:w="4353" w:type="dxa"/>
            <w:tcBorders>
              <w:top w:val="nil"/>
              <w:left w:val="nil"/>
              <w:bottom w:val="nil"/>
              <w:right w:val="nil"/>
            </w:tcBorders>
            <w:shd w:val="clear" w:color="auto" w:fill="auto"/>
            <w:noWrap/>
            <w:tcMar>
              <w:top w:w="15" w:type="dxa"/>
              <w:left w:w="15" w:type="dxa"/>
              <w:bottom w:w="0" w:type="dxa"/>
              <w:right w:w="15" w:type="dxa"/>
            </w:tcMar>
            <w:vAlign w:val="bottom"/>
            <w:hideMark/>
          </w:tcPr>
          <w:p w14:paraId="351A35DA" w14:textId="77777777" w:rsidR="00C544F5" w:rsidRPr="00440785" w:rsidRDefault="00C544F5" w:rsidP="0011213D">
            <w:pPr>
              <w:spacing w:line="360" w:lineRule="auto"/>
              <w:jc w:val="center"/>
              <w:rPr>
                <w:sz w:val="26"/>
                <w:szCs w:val="26"/>
              </w:rPr>
            </w:pPr>
          </w:p>
        </w:tc>
        <w:tc>
          <w:tcPr>
            <w:tcW w:w="1559" w:type="dxa"/>
            <w:tcBorders>
              <w:top w:val="nil"/>
              <w:left w:val="nil"/>
              <w:bottom w:val="nil"/>
              <w:right w:val="nil"/>
            </w:tcBorders>
            <w:shd w:val="clear" w:color="auto" w:fill="auto"/>
            <w:noWrap/>
            <w:tcMar>
              <w:top w:w="15" w:type="dxa"/>
              <w:left w:w="15" w:type="dxa"/>
              <w:bottom w:w="0" w:type="dxa"/>
              <w:right w:w="15" w:type="dxa"/>
            </w:tcMar>
            <w:vAlign w:val="bottom"/>
            <w:hideMark/>
          </w:tcPr>
          <w:p w14:paraId="4990BBD8" w14:textId="77777777" w:rsidR="00C544F5" w:rsidRPr="00440785" w:rsidRDefault="00C544F5" w:rsidP="0011213D">
            <w:pPr>
              <w:spacing w:line="360" w:lineRule="auto"/>
              <w:jc w:val="center"/>
              <w:rPr>
                <w:sz w:val="26"/>
                <w:szCs w:val="26"/>
              </w:rPr>
            </w:pPr>
            <w:r w:rsidRPr="00440785">
              <w:rPr>
                <w:sz w:val="26"/>
                <w:szCs w:val="26"/>
              </w:rPr>
              <w:t>(0.002)</w:t>
            </w:r>
          </w:p>
        </w:tc>
        <w:tc>
          <w:tcPr>
            <w:tcW w:w="1281" w:type="dxa"/>
            <w:tcBorders>
              <w:top w:val="nil"/>
              <w:left w:val="nil"/>
              <w:bottom w:val="nil"/>
              <w:right w:val="nil"/>
            </w:tcBorders>
            <w:shd w:val="clear" w:color="auto" w:fill="auto"/>
            <w:noWrap/>
            <w:tcMar>
              <w:top w:w="15" w:type="dxa"/>
              <w:left w:w="15" w:type="dxa"/>
              <w:bottom w:w="0" w:type="dxa"/>
              <w:right w:w="15" w:type="dxa"/>
            </w:tcMar>
            <w:vAlign w:val="bottom"/>
            <w:hideMark/>
          </w:tcPr>
          <w:p w14:paraId="50832A87" w14:textId="77777777" w:rsidR="00C544F5" w:rsidRPr="00440785" w:rsidRDefault="00C544F5" w:rsidP="0011213D">
            <w:pPr>
              <w:spacing w:line="360" w:lineRule="auto"/>
              <w:jc w:val="center"/>
              <w:rPr>
                <w:sz w:val="26"/>
                <w:szCs w:val="26"/>
              </w:rPr>
            </w:pPr>
            <w:r w:rsidRPr="00440785">
              <w:rPr>
                <w:sz w:val="26"/>
                <w:szCs w:val="26"/>
              </w:rPr>
              <w:t>(0.002)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3036DCF" w14:textId="77777777" w:rsidR="00C544F5" w:rsidRPr="00440785" w:rsidRDefault="00C544F5" w:rsidP="0011213D">
            <w:pPr>
              <w:spacing w:line="360" w:lineRule="auto"/>
              <w:jc w:val="center"/>
              <w:rPr>
                <w:sz w:val="26"/>
                <w:szCs w:val="26"/>
              </w:rPr>
            </w:pPr>
            <w:r w:rsidRPr="00440785">
              <w:rPr>
                <w:sz w:val="26"/>
                <w:szCs w:val="26"/>
              </w:rPr>
              <w:t>(0.002)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5988633" w14:textId="77777777" w:rsidR="00C544F5" w:rsidRPr="00440785" w:rsidRDefault="00C544F5" w:rsidP="0011213D">
            <w:pPr>
              <w:spacing w:line="360" w:lineRule="auto"/>
              <w:jc w:val="center"/>
              <w:rPr>
                <w:sz w:val="26"/>
                <w:szCs w:val="26"/>
              </w:rPr>
            </w:pPr>
            <w:r w:rsidRPr="00440785">
              <w:rPr>
                <w:sz w:val="26"/>
                <w:szCs w:val="26"/>
              </w:rPr>
              <w:t>(0.002)</w:t>
            </w:r>
          </w:p>
        </w:tc>
      </w:tr>
      <w:tr w:rsidR="00C544F5" w:rsidRPr="00440785" w14:paraId="260FC6B2" w14:textId="77777777" w:rsidTr="00C544F5">
        <w:trPr>
          <w:trHeight w:val="219"/>
          <w:jc w:val="center"/>
        </w:trPr>
        <w:tc>
          <w:tcPr>
            <w:tcW w:w="4353" w:type="dxa"/>
            <w:tcBorders>
              <w:top w:val="nil"/>
              <w:left w:val="nil"/>
              <w:bottom w:val="nil"/>
              <w:right w:val="nil"/>
            </w:tcBorders>
            <w:shd w:val="clear" w:color="auto" w:fill="auto"/>
            <w:noWrap/>
            <w:tcMar>
              <w:top w:w="15" w:type="dxa"/>
              <w:left w:w="15" w:type="dxa"/>
              <w:bottom w:w="0" w:type="dxa"/>
              <w:right w:w="15" w:type="dxa"/>
            </w:tcMar>
            <w:vAlign w:val="bottom"/>
            <w:hideMark/>
          </w:tcPr>
          <w:p w14:paraId="369C5C10" w14:textId="77777777" w:rsidR="00C544F5" w:rsidRPr="00440785" w:rsidRDefault="00C544F5" w:rsidP="0011213D">
            <w:pPr>
              <w:spacing w:line="360" w:lineRule="auto"/>
              <w:rPr>
                <w:sz w:val="26"/>
                <w:szCs w:val="26"/>
              </w:rPr>
            </w:pPr>
            <w:r w:rsidRPr="00440785">
              <w:rPr>
                <w:sz w:val="26"/>
                <w:szCs w:val="26"/>
              </w:rPr>
              <w:t>Tỷ lệ phụ thuộc trong hộ</w:t>
            </w:r>
          </w:p>
        </w:tc>
        <w:tc>
          <w:tcPr>
            <w:tcW w:w="1559" w:type="dxa"/>
            <w:tcBorders>
              <w:top w:val="nil"/>
              <w:left w:val="nil"/>
              <w:bottom w:val="nil"/>
              <w:right w:val="nil"/>
            </w:tcBorders>
            <w:shd w:val="clear" w:color="auto" w:fill="auto"/>
            <w:noWrap/>
            <w:tcMar>
              <w:top w:w="15" w:type="dxa"/>
              <w:left w:w="15" w:type="dxa"/>
              <w:bottom w:w="0" w:type="dxa"/>
              <w:right w:w="15" w:type="dxa"/>
            </w:tcMar>
            <w:vAlign w:val="bottom"/>
            <w:hideMark/>
          </w:tcPr>
          <w:p w14:paraId="27849A1F" w14:textId="77777777" w:rsidR="00C544F5" w:rsidRPr="00440785" w:rsidRDefault="00C544F5" w:rsidP="0011213D">
            <w:pPr>
              <w:spacing w:line="360" w:lineRule="auto"/>
              <w:jc w:val="center"/>
              <w:rPr>
                <w:sz w:val="26"/>
                <w:szCs w:val="26"/>
              </w:rPr>
            </w:pPr>
            <w:r w:rsidRPr="00440785">
              <w:rPr>
                <w:sz w:val="26"/>
                <w:szCs w:val="26"/>
              </w:rPr>
              <w:t>-0.050***</w:t>
            </w:r>
          </w:p>
        </w:tc>
        <w:tc>
          <w:tcPr>
            <w:tcW w:w="1281" w:type="dxa"/>
            <w:tcBorders>
              <w:top w:val="nil"/>
              <w:left w:val="nil"/>
              <w:bottom w:val="nil"/>
              <w:right w:val="nil"/>
            </w:tcBorders>
            <w:shd w:val="clear" w:color="auto" w:fill="auto"/>
            <w:noWrap/>
            <w:tcMar>
              <w:top w:w="15" w:type="dxa"/>
              <w:left w:w="15" w:type="dxa"/>
              <w:bottom w:w="0" w:type="dxa"/>
              <w:right w:w="15" w:type="dxa"/>
            </w:tcMar>
            <w:vAlign w:val="bottom"/>
            <w:hideMark/>
          </w:tcPr>
          <w:p w14:paraId="2519559B" w14:textId="77777777" w:rsidR="00C544F5" w:rsidRPr="00440785" w:rsidRDefault="00C544F5" w:rsidP="0011213D">
            <w:pPr>
              <w:spacing w:line="360" w:lineRule="auto"/>
              <w:jc w:val="center"/>
              <w:rPr>
                <w:sz w:val="26"/>
                <w:szCs w:val="26"/>
              </w:rPr>
            </w:pPr>
            <w:r w:rsidRPr="00440785">
              <w:rPr>
                <w:sz w:val="26"/>
                <w:szCs w:val="26"/>
              </w:rPr>
              <w:t>-0.149***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7F5D394" w14:textId="77777777" w:rsidR="00C544F5" w:rsidRPr="00440785" w:rsidRDefault="00C544F5" w:rsidP="0011213D">
            <w:pPr>
              <w:spacing w:line="360" w:lineRule="auto"/>
              <w:jc w:val="center"/>
              <w:rPr>
                <w:sz w:val="26"/>
                <w:szCs w:val="26"/>
              </w:rPr>
            </w:pPr>
            <w:r w:rsidRPr="00440785">
              <w:rPr>
                <w:sz w:val="26"/>
                <w:szCs w:val="26"/>
              </w:rPr>
              <w:t>-0.121***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CC2BE6B" w14:textId="77777777" w:rsidR="00C544F5" w:rsidRPr="00440785" w:rsidRDefault="00C544F5" w:rsidP="0011213D">
            <w:pPr>
              <w:spacing w:line="360" w:lineRule="auto"/>
              <w:jc w:val="center"/>
              <w:rPr>
                <w:sz w:val="26"/>
                <w:szCs w:val="26"/>
              </w:rPr>
            </w:pPr>
            <w:r w:rsidRPr="00440785">
              <w:rPr>
                <w:sz w:val="26"/>
                <w:szCs w:val="26"/>
              </w:rPr>
              <w:t>-0.136***</w:t>
            </w:r>
          </w:p>
        </w:tc>
      </w:tr>
      <w:tr w:rsidR="00C544F5" w:rsidRPr="00440785" w14:paraId="7838BBC3" w14:textId="77777777" w:rsidTr="00C544F5">
        <w:trPr>
          <w:trHeight w:val="219"/>
          <w:jc w:val="center"/>
        </w:trPr>
        <w:tc>
          <w:tcPr>
            <w:tcW w:w="4353" w:type="dxa"/>
            <w:tcBorders>
              <w:top w:val="nil"/>
              <w:left w:val="nil"/>
              <w:bottom w:val="nil"/>
              <w:right w:val="nil"/>
            </w:tcBorders>
            <w:shd w:val="clear" w:color="auto" w:fill="auto"/>
            <w:noWrap/>
            <w:tcMar>
              <w:top w:w="15" w:type="dxa"/>
              <w:left w:w="15" w:type="dxa"/>
              <w:bottom w:w="0" w:type="dxa"/>
              <w:right w:w="15" w:type="dxa"/>
            </w:tcMar>
            <w:vAlign w:val="bottom"/>
            <w:hideMark/>
          </w:tcPr>
          <w:p w14:paraId="46465A81" w14:textId="77777777" w:rsidR="00C544F5" w:rsidRPr="00440785" w:rsidRDefault="00C544F5" w:rsidP="0011213D">
            <w:pPr>
              <w:spacing w:line="360" w:lineRule="auto"/>
              <w:jc w:val="center"/>
              <w:rPr>
                <w:sz w:val="26"/>
                <w:szCs w:val="26"/>
              </w:rPr>
            </w:pPr>
          </w:p>
        </w:tc>
        <w:tc>
          <w:tcPr>
            <w:tcW w:w="1559" w:type="dxa"/>
            <w:tcBorders>
              <w:top w:val="nil"/>
              <w:left w:val="nil"/>
              <w:bottom w:val="nil"/>
              <w:right w:val="nil"/>
            </w:tcBorders>
            <w:shd w:val="clear" w:color="auto" w:fill="auto"/>
            <w:noWrap/>
            <w:tcMar>
              <w:top w:w="15" w:type="dxa"/>
              <w:left w:w="15" w:type="dxa"/>
              <w:bottom w:w="0" w:type="dxa"/>
              <w:right w:w="15" w:type="dxa"/>
            </w:tcMar>
            <w:vAlign w:val="bottom"/>
            <w:hideMark/>
          </w:tcPr>
          <w:p w14:paraId="140AD76A" w14:textId="77777777" w:rsidR="00C544F5" w:rsidRPr="00440785" w:rsidRDefault="00C544F5" w:rsidP="0011213D">
            <w:pPr>
              <w:spacing w:line="360" w:lineRule="auto"/>
              <w:jc w:val="center"/>
              <w:rPr>
                <w:sz w:val="26"/>
                <w:szCs w:val="26"/>
              </w:rPr>
            </w:pPr>
            <w:r w:rsidRPr="00440785">
              <w:rPr>
                <w:sz w:val="26"/>
                <w:szCs w:val="26"/>
              </w:rPr>
              <w:t>(0.011)</w:t>
            </w:r>
          </w:p>
        </w:tc>
        <w:tc>
          <w:tcPr>
            <w:tcW w:w="1281" w:type="dxa"/>
            <w:tcBorders>
              <w:top w:val="nil"/>
              <w:left w:val="nil"/>
              <w:bottom w:val="nil"/>
              <w:right w:val="nil"/>
            </w:tcBorders>
            <w:shd w:val="clear" w:color="auto" w:fill="auto"/>
            <w:noWrap/>
            <w:tcMar>
              <w:top w:w="15" w:type="dxa"/>
              <w:left w:w="15" w:type="dxa"/>
              <w:bottom w:w="0" w:type="dxa"/>
              <w:right w:w="15" w:type="dxa"/>
            </w:tcMar>
            <w:vAlign w:val="bottom"/>
            <w:hideMark/>
          </w:tcPr>
          <w:p w14:paraId="7EF6BB18" w14:textId="77777777" w:rsidR="00C544F5" w:rsidRPr="00440785" w:rsidRDefault="00C544F5" w:rsidP="0011213D">
            <w:pPr>
              <w:spacing w:line="360" w:lineRule="auto"/>
              <w:jc w:val="center"/>
              <w:rPr>
                <w:sz w:val="26"/>
                <w:szCs w:val="26"/>
              </w:rPr>
            </w:pPr>
            <w:r w:rsidRPr="00440785">
              <w:rPr>
                <w:sz w:val="26"/>
                <w:szCs w:val="26"/>
              </w:rPr>
              <w:t>(0.011)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A7493C2" w14:textId="77777777" w:rsidR="00C544F5" w:rsidRPr="00440785" w:rsidRDefault="00C544F5" w:rsidP="0011213D">
            <w:pPr>
              <w:spacing w:line="360" w:lineRule="auto"/>
              <w:jc w:val="center"/>
              <w:rPr>
                <w:sz w:val="26"/>
                <w:szCs w:val="26"/>
              </w:rPr>
            </w:pPr>
            <w:r w:rsidRPr="00440785">
              <w:rPr>
                <w:sz w:val="26"/>
                <w:szCs w:val="26"/>
              </w:rPr>
              <w:t>(0.011)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555660C" w14:textId="77777777" w:rsidR="00C544F5" w:rsidRPr="00440785" w:rsidRDefault="00C544F5" w:rsidP="0011213D">
            <w:pPr>
              <w:spacing w:line="360" w:lineRule="auto"/>
              <w:jc w:val="center"/>
              <w:rPr>
                <w:sz w:val="26"/>
                <w:szCs w:val="26"/>
              </w:rPr>
            </w:pPr>
            <w:r w:rsidRPr="00440785">
              <w:rPr>
                <w:sz w:val="26"/>
                <w:szCs w:val="26"/>
              </w:rPr>
              <w:t>(0.011)</w:t>
            </w:r>
          </w:p>
        </w:tc>
      </w:tr>
      <w:tr w:rsidR="00C544F5" w:rsidRPr="00440785" w14:paraId="5415B832" w14:textId="77777777" w:rsidTr="00C544F5">
        <w:trPr>
          <w:trHeight w:val="219"/>
          <w:jc w:val="center"/>
        </w:trPr>
        <w:tc>
          <w:tcPr>
            <w:tcW w:w="4353" w:type="dxa"/>
            <w:tcBorders>
              <w:top w:val="nil"/>
              <w:left w:val="nil"/>
              <w:bottom w:val="nil"/>
              <w:right w:val="nil"/>
            </w:tcBorders>
            <w:shd w:val="clear" w:color="auto" w:fill="auto"/>
            <w:noWrap/>
            <w:tcMar>
              <w:top w:w="15" w:type="dxa"/>
              <w:left w:w="15" w:type="dxa"/>
              <w:bottom w:w="0" w:type="dxa"/>
              <w:right w:w="15" w:type="dxa"/>
            </w:tcMar>
            <w:vAlign w:val="bottom"/>
            <w:hideMark/>
          </w:tcPr>
          <w:p w14:paraId="33882D23" w14:textId="77777777" w:rsidR="00C544F5" w:rsidRPr="00440785" w:rsidRDefault="00C544F5" w:rsidP="0011213D">
            <w:pPr>
              <w:spacing w:line="360" w:lineRule="auto"/>
              <w:rPr>
                <w:sz w:val="26"/>
                <w:szCs w:val="26"/>
              </w:rPr>
            </w:pPr>
            <w:r w:rsidRPr="00440785">
              <w:rPr>
                <w:sz w:val="26"/>
                <w:szCs w:val="26"/>
              </w:rPr>
              <w:t>Logarit(diện tích đất nông nghiệp)</w:t>
            </w:r>
          </w:p>
        </w:tc>
        <w:tc>
          <w:tcPr>
            <w:tcW w:w="1559" w:type="dxa"/>
            <w:tcBorders>
              <w:top w:val="nil"/>
              <w:left w:val="nil"/>
              <w:bottom w:val="nil"/>
              <w:right w:val="nil"/>
            </w:tcBorders>
            <w:shd w:val="clear" w:color="auto" w:fill="auto"/>
            <w:noWrap/>
            <w:tcMar>
              <w:top w:w="15" w:type="dxa"/>
              <w:left w:w="15" w:type="dxa"/>
              <w:bottom w:w="0" w:type="dxa"/>
              <w:right w:w="15" w:type="dxa"/>
            </w:tcMar>
            <w:vAlign w:val="bottom"/>
            <w:hideMark/>
          </w:tcPr>
          <w:p w14:paraId="0A3876F4" w14:textId="77777777" w:rsidR="00C544F5" w:rsidRPr="00440785" w:rsidRDefault="00C544F5" w:rsidP="0011213D">
            <w:pPr>
              <w:spacing w:line="360" w:lineRule="auto"/>
              <w:jc w:val="center"/>
              <w:rPr>
                <w:sz w:val="26"/>
                <w:szCs w:val="26"/>
              </w:rPr>
            </w:pPr>
            <w:r w:rsidRPr="00440785">
              <w:rPr>
                <w:sz w:val="26"/>
                <w:szCs w:val="26"/>
              </w:rPr>
              <w:t>0.026***</w:t>
            </w:r>
          </w:p>
        </w:tc>
        <w:tc>
          <w:tcPr>
            <w:tcW w:w="1281" w:type="dxa"/>
            <w:tcBorders>
              <w:top w:val="nil"/>
              <w:left w:val="nil"/>
              <w:bottom w:val="nil"/>
              <w:right w:val="nil"/>
            </w:tcBorders>
            <w:shd w:val="clear" w:color="auto" w:fill="auto"/>
            <w:noWrap/>
            <w:tcMar>
              <w:top w:w="15" w:type="dxa"/>
              <w:left w:w="15" w:type="dxa"/>
              <w:bottom w:w="0" w:type="dxa"/>
              <w:right w:w="15" w:type="dxa"/>
            </w:tcMar>
            <w:vAlign w:val="bottom"/>
            <w:hideMark/>
          </w:tcPr>
          <w:p w14:paraId="33381CF3" w14:textId="77777777" w:rsidR="00C544F5" w:rsidRPr="00440785" w:rsidRDefault="00C544F5" w:rsidP="0011213D">
            <w:pPr>
              <w:spacing w:line="360" w:lineRule="auto"/>
              <w:jc w:val="center"/>
              <w:rPr>
                <w:sz w:val="26"/>
                <w:szCs w:val="2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ABB537F" w14:textId="77777777" w:rsidR="00C544F5" w:rsidRPr="00440785" w:rsidRDefault="00C544F5" w:rsidP="0011213D">
            <w:pPr>
              <w:spacing w:line="360" w:lineRule="auto"/>
              <w:jc w:val="center"/>
              <w:rPr>
                <w:sz w:val="26"/>
                <w:szCs w:val="26"/>
              </w:rPr>
            </w:pPr>
            <w:r w:rsidRPr="00440785">
              <w:rPr>
                <w:sz w:val="26"/>
                <w:szCs w:val="26"/>
              </w:rPr>
              <w:t>0.103***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F7EF1F9" w14:textId="77777777" w:rsidR="00C544F5" w:rsidRPr="00440785" w:rsidRDefault="00C544F5" w:rsidP="0011213D">
            <w:pPr>
              <w:spacing w:line="360" w:lineRule="auto"/>
              <w:jc w:val="center"/>
              <w:rPr>
                <w:sz w:val="26"/>
                <w:szCs w:val="26"/>
              </w:rPr>
            </w:pPr>
          </w:p>
        </w:tc>
      </w:tr>
      <w:tr w:rsidR="00C544F5" w:rsidRPr="00440785" w14:paraId="1654B087" w14:textId="77777777" w:rsidTr="00C544F5">
        <w:trPr>
          <w:trHeight w:val="219"/>
          <w:jc w:val="center"/>
        </w:trPr>
        <w:tc>
          <w:tcPr>
            <w:tcW w:w="4353" w:type="dxa"/>
            <w:tcBorders>
              <w:top w:val="nil"/>
              <w:left w:val="nil"/>
              <w:bottom w:val="nil"/>
              <w:right w:val="nil"/>
            </w:tcBorders>
            <w:shd w:val="clear" w:color="auto" w:fill="auto"/>
            <w:noWrap/>
            <w:tcMar>
              <w:top w:w="15" w:type="dxa"/>
              <w:left w:w="15" w:type="dxa"/>
              <w:bottom w:w="0" w:type="dxa"/>
              <w:right w:w="15" w:type="dxa"/>
            </w:tcMar>
            <w:vAlign w:val="bottom"/>
            <w:hideMark/>
          </w:tcPr>
          <w:p w14:paraId="60482EBA" w14:textId="77777777" w:rsidR="00C544F5" w:rsidRPr="00440785" w:rsidRDefault="00C544F5" w:rsidP="0011213D">
            <w:pPr>
              <w:spacing w:line="360" w:lineRule="auto"/>
              <w:jc w:val="center"/>
              <w:rPr>
                <w:sz w:val="26"/>
                <w:szCs w:val="26"/>
              </w:rPr>
            </w:pPr>
          </w:p>
        </w:tc>
        <w:tc>
          <w:tcPr>
            <w:tcW w:w="1559" w:type="dxa"/>
            <w:tcBorders>
              <w:top w:val="nil"/>
              <w:left w:val="nil"/>
              <w:bottom w:val="nil"/>
              <w:right w:val="nil"/>
            </w:tcBorders>
            <w:shd w:val="clear" w:color="auto" w:fill="auto"/>
            <w:noWrap/>
            <w:tcMar>
              <w:top w:w="15" w:type="dxa"/>
              <w:left w:w="15" w:type="dxa"/>
              <w:bottom w:w="0" w:type="dxa"/>
              <w:right w:w="15" w:type="dxa"/>
            </w:tcMar>
            <w:vAlign w:val="bottom"/>
            <w:hideMark/>
          </w:tcPr>
          <w:p w14:paraId="4C358A3C" w14:textId="77777777" w:rsidR="00C544F5" w:rsidRPr="00440785" w:rsidRDefault="00C544F5" w:rsidP="0011213D">
            <w:pPr>
              <w:spacing w:line="360" w:lineRule="auto"/>
              <w:jc w:val="center"/>
              <w:rPr>
                <w:sz w:val="26"/>
                <w:szCs w:val="26"/>
              </w:rPr>
            </w:pPr>
            <w:r w:rsidRPr="00440785">
              <w:rPr>
                <w:sz w:val="26"/>
                <w:szCs w:val="26"/>
              </w:rPr>
              <w:t>(0.002)</w:t>
            </w:r>
          </w:p>
        </w:tc>
        <w:tc>
          <w:tcPr>
            <w:tcW w:w="1281" w:type="dxa"/>
            <w:tcBorders>
              <w:top w:val="nil"/>
              <w:left w:val="nil"/>
              <w:bottom w:val="nil"/>
              <w:right w:val="nil"/>
            </w:tcBorders>
            <w:shd w:val="clear" w:color="auto" w:fill="auto"/>
            <w:noWrap/>
            <w:tcMar>
              <w:top w:w="15" w:type="dxa"/>
              <w:left w:w="15" w:type="dxa"/>
              <w:bottom w:w="0" w:type="dxa"/>
              <w:right w:w="15" w:type="dxa"/>
            </w:tcMar>
            <w:vAlign w:val="bottom"/>
            <w:hideMark/>
          </w:tcPr>
          <w:p w14:paraId="3D04F285" w14:textId="77777777" w:rsidR="00C544F5" w:rsidRPr="00440785" w:rsidRDefault="00C544F5" w:rsidP="0011213D">
            <w:pPr>
              <w:spacing w:line="360" w:lineRule="auto"/>
              <w:jc w:val="center"/>
              <w:rPr>
                <w:sz w:val="26"/>
                <w:szCs w:val="2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1D8A02D" w14:textId="77777777" w:rsidR="00C544F5" w:rsidRPr="00440785" w:rsidRDefault="00C544F5" w:rsidP="0011213D">
            <w:pPr>
              <w:spacing w:line="360" w:lineRule="auto"/>
              <w:jc w:val="center"/>
              <w:rPr>
                <w:sz w:val="26"/>
                <w:szCs w:val="26"/>
              </w:rPr>
            </w:pPr>
            <w:r w:rsidRPr="00440785">
              <w:rPr>
                <w:sz w:val="26"/>
                <w:szCs w:val="26"/>
              </w:rPr>
              <w:t>(0.002)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E85993D" w14:textId="77777777" w:rsidR="00C544F5" w:rsidRPr="00440785" w:rsidRDefault="00C544F5" w:rsidP="0011213D">
            <w:pPr>
              <w:spacing w:line="360" w:lineRule="auto"/>
              <w:jc w:val="center"/>
              <w:rPr>
                <w:sz w:val="26"/>
                <w:szCs w:val="26"/>
              </w:rPr>
            </w:pPr>
          </w:p>
        </w:tc>
      </w:tr>
      <w:tr w:rsidR="00C544F5" w:rsidRPr="00440785" w14:paraId="31175C61" w14:textId="77777777" w:rsidTr="00C544F5">
        <w:trPr>
          <w:trHeight w:val="219"/>
          <w:jc w:val="center"/>
        </w:trPr>
        <w:tc>
          <w:tcPr>
            <w:tcW w:w="4353" w:type="dxa"/>
            <w:tcBorders>
              <w:top w:val="nil"/>
              <w:left w:val="nil"/>
              <w:bottom w:val="nil"/>
              <w:right w:val="nil"/>
            </w:tcBorders>
            <w:shd w:val="clear" w:color="auto" w:fill="auto"/>
            <w:noWrap/>
            <w:tcMar>
              <w:top w:w="15" w:type="dxa"/>
              <w:left w:w="15" w:type="dxa"/>
              <w:bottom w:w="0" w:type="dxa"/>
              <w:right w:w="15" w:type="dxa"/>
            </w:tcMar>
            <w:vAlign w:val="bottom"/>
            <w:hideMark/>
          </w:tcPr>
          <w:p w14:paraId="4A04DCB8" w14:textId="77777777" w:rsidR="00C544F5" w:rsidRPr="00440785" w:rsidRDefault="00C544F5" w:rsidP="0011213D">
            <w:pPr>
              <w:spacing w:line="360" w:lineRule="auto"/>
              <w:rPr>
                <w:sz w:val="26"/>
                <w:szCs w:val="26"/>
              </w:rPr>
            </w:pPr>
            <w:r w:rsidRPr="00440785">
              <w:rPr>
                <w:sz w:val="26"/>
                <w:szCs w:val="26"/>
              </w:rPr>
              <w:t>Logarit(thu nhập hộ)</w:t>
            </w:r>
          </w:p>
        </w:tc>
        <w:tc>
          <w:tcPr>
            <w:tcW w:w="1559" w:type="dxa"/>
            <w:tcBorders>
              <w:top w:val="nil"/>
              <w:left w:val="nil"/>
              <w:bottom w:val="nil"/>
              <w:right w:val="nil"/>
            </w:tcBorders>
            <w:shd w:val="clear" w:color="auto" w:fill="auto"/>
            <w:noWrap/>
            <w:tcMar>
              <w:top w:w="15" w:type="dxa"/>
              <w:left w:w="15" w:type="dxa"/>
              <w:bottom w:w="0" w:type="dxa"/>
              <w:right w:w="15" w:type="dxa"/>
            </w:tcMar>
            <w:vAlign w:val="bottom"/>
            <w:hideMark/>
          </w:tcPr>
          <w:p w14:paraId="37946918" w14:textId="77777777" w:rsidR="00C544F5" w:rsidRPr="00440785" w:rsidRDefault="00C544F5" w:rsidP="0011213D">
            <w:pPr>
              <w:spacing w:line="360" w:lineRule="auto"/>
              <w:jc w:val="center"/>
              <w:rPr>
                <w:sz w:val="26"/>
                <w:szCs w:val="26"/>
              </w:rPr>
            </w:pPr>
            <w:r w:rsidRPr="00440785">
              <w:rPr>
                <w:sz w:val="26"/>
                <w:szCs w:val="26"/>
              </w:rPr>
              <w:t>-0.253***</w:t>
            </w:r>
          </w:p>
        </w:tc>
        <w:tc>
          <w:tcPr>
            <w:tcW w:w="1281" w:type="dxa"/>
            <w:tcBorders>
              <w:top w:val="nil"/>
              <w:left w:val="nil"/>
              <w:bottom w:val="nil"/>
              <w:right w:val="nil"/>
            </w:tcBorders>
            <w:shd w:val="clear" w:color="auto" w:fill="auto"/>
            <w:noWrap/>
            <w:tcMar>
              <w:top w:w="15" w:type="dxa"/>
              <w:left w:w="15" w:type="dxa"/>
              <w:bottom w:w="0" w:type="dxa"/>
              <w:right w:w="15" w:type="dxa"/>
            </w:tcMar>
            <w:vAlign w:val="bottom"/>
            <w:hideMark/>
          </w:tcPr>
          <w:p w14:paraId="539086EC" w14:textId="77777777" w:rsidR="00C544F5" w:rsidRPr="00440785" w:rsidRDefault="00C544F5" w:rsidP="0011213D">
            <w:pPr>
              <w:spacing w:line="360" w:lineRule="auto"/>
              <w:jc w:val="center"/>
              <w:rPr>
                <w:sz w:val="26"/>
                <w:szCs w:val="2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6A94F754" w14:textId="77777777" w:rsidR="00C544F5" w:rsidRPr="00440785" w:rsidRDefault="00C544F5" w:rsidP="0011213D">
            <w:pPr>
              <w:spacing w:line="360" w:lineRule="auto"/>
              <w:jc w:val="center"/>
              <w:rPr>
                <w:sz w:val="26"/>
                <w:szCs w:val="2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FE14B6C" w14:textId="77777777" w:rsidR="00C544F5" w:rsidRPr="00440785" w:rsidRDefault="00C544F5" w:rsidP="0011213D">
            <w:pPr>
              <w:spacing w:line="360" w:lineRule="auto"/>
              <w:jc w:val="center"/>
              <w:rPr>
                <w:sz w:val="26"/>
                <w:szCs w:val="26"/>
              </w:rPr>
            </w:pPr>
            <w:r w:rsidRPr="00440785">
              <w:rPr>
                <w:sz w:val="26"/>
                <w:szCs w:val="26"/>
              </w:rPr>
              <w:t>-0.151***</w:t>
            </w:r>
          </w:p>
        </w:tc>
      </w:tr>
      <w:tr w:rsidR="00C544F5" w:rsidRPr="00440785" w14:paraId="4191DBAA" w14:textId="77777777" w:rsidTr="00C544F5">
        <w:trPr>
          <w:trHeight w:val="219"/>
          <w:jc w:val="center"/>
        </w:trPr>
        <w:tc>
          <w:tcPr>
            <w:tcW w:w="4353" w:type="dxa"/>
            <w:tcBorders>
              <w:top w:val="nil"/>
              <w:left w:val="nil"/>
              <w:bottom w:val="nil"/>
              <w:right w:val="nil"/>
            </w:tcBorders>
            <w:shd w:val="clear" w:color="auto" w:fill="auto"/>
            <w:noWrap/>
            <w:tcMar>
              <w:top w:w="15" w:type="dxa"/>
              <w:left w:w="15" w:type="dxa"/>
              <w:bottom w:w="0" w:type="dxa"/>
              <w:right w:w="15" w:type="dxa"/>
            </w:tcMar>
            <w:vAlign w:val="bottom"/>
            <w:hideMark/>
          </w:tcPr>
          <w:p w14:paraId="683FCFAD" w14:textId="77777777" w:rsidR="00C544F5" w:rsidRPr="00440785" w:rsidRDefault="00C544F5" w:rsidP="0011213D">
            <w:pPr>
              <w:spacing w:line="360" w:lineRule="auto"/>
              <w:jc w:val="center"/>
              <w:rPr>
                <w:sz w:val="26"/>
                <w:szCs w:val="26"/>
              </w:rPr>
            </w:pPr>
          </w:p>
        </w:tc>
        <w:tc>
          <w:tcPr>
            <w:tcW w:w="1559" w:type="dxa"/>
            <w:tcBorders>
              <w:top w:val="nil"/>
              <w:left w:val="nil"/>
              <w:bottom w:val="nil"/>
              <w:right w:val="nil"/>
            </w:tcBorders>
            <w:shd w:val="clear" w:color="auto" w:fill="auto"/>
            <w:noWrap/>
            <w:tcMar>
              <w:top w:w="15" w:type="dxa"/>
              <w:left w:w="15" w:type="dxa"/>
              <w:bottom w:w="0" w:type="dxa"/>
              <w:right w:w="15" w:type="dxa"/>
            </w:tcMar>
            <w:vAlign w:val="bottom"/>
            <w:hideMark/>
          </w:tcPr>
          <w:p w14:paraId="730F02E6" w14:textId="77777777" w:rsidR="00C544F5" w:rsidRPr="00440785" w:rsidRDefault="00C544F5" w:rsidP="0011213D">
            <w:pPr>
              <w:spacing w:line="360" w:lineRule="auto"/>
              <w:jc w:val="center"/>
              <w:rPr>
                <w:sz w:val="26"/>
                <w:szCs w:val="26"/>
              </w:rPr>
            </w:pPr>
            <w:r w:rsidRPr="00440785">
              <w:rPr>
                <w:sz w:val="26"/>
                <w:szCs w:val="26"/>
              </w:rPr>
              <w:t>(0.004)</w:t>
            </w:r>
          </w:p>
        </w:tc>
        <w:tc>
          <w:tcPr>
            <w:tcW w:w="1281" w:type="dxa"/>
            <w:tcBorders>
              <w:top w:val="nil"/>
              <w:left w:val="nil"/>
              <w:bottom w:val="nil"/>
              <w:right w:val="nil"/>
            </w:tcBorders>
            <w:shd w:val="clear" w:color="auto" w:fill="auto"/>
            <w:noWrap/>
            <w:tcMar>
              <w:top w:w="15" w:type="dxa"/>
              <w:left w:w="15" w:type="dxa"/>
              <w:bottom w:w="0" w:type="dxa"/>
              <w:right w:w="15" w:type="dxa"/>
            </w:tcMar>
            <w:vAlign w:val="bottom"/>
            <w:hideMark/>
          </w:tcPr>
          <w:p w14:paraId="21EF36B4" w14:textId="77777777" w:rsidR="00C544F5" w:rsidRPr="00440785" w:rsidRDefault="00C544F5" w:rsidP="0011213D">
            <w:pPr>
              <w:spacing w:line="360" w:lineRule="auto"/>
              <w:jc w:val="center"/>
              <w:rPr>
                <w:sz w:val="26"/>
                <w:szCs w:val="2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711268AF" w14:textId="77777777" w:rsidR="00C544F5" w:rsidRPr="00440785" w:rsidRDefault="00C544F5" w:rsidP="0011213D">
            <w:pPr>
              <w:spacing w:line="360" w:lineRule="auto"/>
              <w:jc w:val="center"/>
              <w:rPr>
                <w:sz w:val="26"/>
                <w:szCs w:val="2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A4704D9" w14:textId="77777777" w:rsidR="00C544F5" w:rsidRPr="00440785" w:rsidRDefault="00C544F5" w:rsidP="0011213D">
            <w:pPr>
              <w:spacing w:line="360" w:lineRule="auto"/>
              <w:jc w:val="center"/>
              <w:rPr>
                <w:sz w:val="26"/>
                <w:szCs w:val="26"/>
              </w:rPr>
            </w:pPr>
            <w:r w:rsidRPr="00440785">
              <w:rPr>
                <w:sz w:val="26"/>
                <w:szCs w:val="26"/>
              </w:rPr>
              <w:t>(0.005)</w:t>
            </w:r>
          </w:p>
        </w:tc>
      </w:tr>
      <w:tr w:rsidR="00C544F5" w:rsidRPr="00440785" w14:paraId="43526D94" w14:textId="77777777" w:rsidTr="00C544F5">
        <w:trPr>
          <w:trHeight w:val="219"/>
          <w:jc w:val="center"/>
        </w:trPr>
        <w:tc>
          <w:tcPr>
            <w:tcW w:w="4353" w:type="dxa"/>
            <w:tcBorders>
              <w:top w:val="nil"/>
              <w:left w:val="nil"/>
              <w:bottom w:val="nil"/>
              <w:right w:val="nil"/>
            </w:tcBorders>
            <w:shd w:val="clear" w:color="auto" w:fill="auto"/>
            <w:noWrap/>
            <w:tcMar>
              <w:top w:w="15" w:type="dxa"/>
              <w:left w:w="15" w:type="dxa"/>
              <w:bottom w:w="0" w:type="dxa"/>
              <w:right w:w="15" w:type="dxa"/>
            </w:tcMar>
            <w:vAlign w:val="bottom"/>
            <w:hideMark/>
          </w:tcPr>
          <w:p w14:paraId="13A4D2A4" w14:textId="77777777" w:rsidR="00C544F5" w:rsidRPr="00440785" w:rsidRDefault="00C544F5" w:rsidP="0011213D">
            <w:pPr>
              <w:spacing w:line="360" w:lineRule="auto"/>
              <w:rPr>
                <w:sz w:val="26"/>
                <w:szCs w:val="26"/>
              </w:rPr>
            </w:pPr>
            <w:r w:rsidRPr="00440785">
              <w:rPr>
                <w:sz w:val="26"/>
                <w:szCs w:val="26"/>
              </w:rPr>
              <w:t>Logarit(thu nhập từ nông nghiệp)</w:t>
            </w:r>
          </w:p>
        </w:tc>
        <w:tc>
          <w:tcPr>
            <w:tcW w:w="1559" w:type="dxa"/>
            <w:tcBorders>
              <w:top w:val="nil"/>
              <w:left w:val="nil"/>
              <w:bottom w:val="nil"/>
              <w:right w:val="nil"/>
            </w:tcBorders>
            <w:shd w:val="clear" w:color="auto" w:fill="auto"/>
            <w:noWrap/>
            <w:tcMar>
              <w:top w:w="15" w:type="dxa"/>
              <w:left w:w="15" w:type="dxa"/>
              <w:bottom w:w="0" w:type="dxa"/>
              <w:right w:w="15" w:type="dxa"/>
            </w:tcMar>
            <w:vAlign w:val="bottom"/>
            <w:hideMark/>
          </w:tcPr>
          <w:p w14:paraId="353194CD" w14:textId="77777777" w:rsidR="00C544F5" w:rsidRPr="00440785" w:rsidRDefault="00C544F5" w:rsidP="0011213D">
            <w:pPr>
              <w:spacing w:line="360" w:lineRule="auto"/>
              <w:jc w:val="center"/>
              <w:rPr>
                <w:sz w:val="26"/>
                <w:szCs w:val="26"/>
              </w:rPr>
            </w:pPr>
          </w:p>
        </w:tc>
        <w:tc>
          <w:tcPr>
            <w:tcW w:w="1281" w:type="dxa"/>
            <w:tcBorders>
              <w:top w:val="nil"/>
              <w:left w:val="nil"/>
              <w:bottom w:val="nil"/>
              <w:right w:val="nil"/>
            </w:tcBorders>
            <w:shd w:val="clear" w:color="auto" w:fill="auto"/>
            <w:noWrap/>
            <w:tcMar>
              <w:top w:w="15" w:type="dxa"/>
              <w:left w:w="15" w:type="dxa"/>
              <w:bottom w:w="0" w:type="dxa"/>
              <w:right w:w="15" w:type="dxa"/>
            </w:tcMar>
            <w:vAlign w:val="bottom"/>
            <w:hideMark/>
          </w:tcPr>
          <w:p w14:paraId="4A26514B" w14:textId="77777777" w:rsidR="00C544F5" w:rsidRPr="00440785" w:rsidRDefault="00C544F5" w:rsidP="0011213D">
            <w:pPr>
              <w:spacing w:line="360" w:lineRule="auto"/>
              <w:jc w:val="center"/>
              <w:rPr>
                <w:sz w:val="26"/>
                <w:szCs w:val="26"/>
              </w:rPr>
            </w:pPr>
            <w:r w:rsidRPr="00440785">
              <w:rPr>
                <w:sz w:val="26"/>
                <w:szCs w:val="26"/>
              </w:rPr>
              <w:t>-0.253***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B097566" w14:textId="77777777" w:rsidR="00C544F5" w:rsidRPr="00440785" w:rsidRDefault="00C544F5" w:rsidP="0011213D">
            <w:pPr>
              <w:spacing w:line="360" w:lineRule="auto"/>
              <w:jc w:val="center"/>
              <w:rPr>
                <w:sz w:val="26"/>
                <w:szCs w:val="26"/>
              </w:rPr>
            </w:pPr>
            <w:r w:rsidRPr="00440785">
              <w:rPr>
                <w:sz w:val="26"/>
                <w:szCs w:val="26"/>
              </w:rPr>
              <w:t>-0.350***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4E9AB02" w14:textId="77777777" w:rsidR="00C544F5" w:rsidRPr="00440785" w:rsidRDefault="00C544F5" w:rsidP="0011213D">
            <w:pPr>
              <w:spacing w:line="360" w:lineRule="auto"/>
              <w:jc w:val="center"/>
              <w:rPr>
                <w:sz w:val="26"/>
                <w:szCs w:val="26"/>
              </w:rPr>
            </w:pPr>
            <w:r w:rsidRPr="00440785">
              <w:rPr>
                <w:sz w:val="26"/>
                <w:szCs w:val="26"/>
              </w:rPr>
              <w:t>-0.211***</w:t>
            </w:r>
          </w:p>
        </w:tc>
      </w:tr>
      <w:tr w:rsidR="00C544F5" w:rsidRPr="00440785" w14:paraId="4D65B8CB" w14:textId="77777777" w:rsidTr="00C544F5">
        <w:trPr>
          <w:trHeight w:val="219"/>
          <w:jc w:val="center"/>
        </w:trPr>
        <w:tc>
          <w:tcPr>
            <w:tcW w:w="4353" w:type="dxa"/>
            <w:tcBorders>
              <w:top w:val="nil"/>
              <w:left w:val="nil"/>
              <w:bottom w:val="nil"/>
              <w:right w:val="nil"/>
            </w:tcBorders>
            <w:shd w:val="clear" w:color="auto" w:fill="auto"/>
            <w:noWrap/>
            <w:tcMar>
              <w:top w:w="15" w:type="dxa"/>
              <w:left w:w="15" w:type="dxa"/>
              <w:bottom w:w="0" w:type="dxa"/>
              <w:right w:w="15" w:type="dxa"/>
            </w:tcMar>
            <w:vAlign w:val="bottom"/>
            <w:hideMark/>
          </w:tcPr>
          <w:p w14:paraId="4C42985D" w14:textId="77777777" w:rsidR="00C544F5" w:rsidRPr="00440785" w:rsidRDefault="00C544F5" w:rsidP="0011213D">
            <w:pPr>
              <w:spacing w:line="360" w:lineRule="auto"/>
              <w:jc w:val="center"/>
              <w:rPr>
                <w:sz w:val="26"/>
                <w:szCs w:val="26"/>
              </w:rPr>
            </w:pPr>
          </w:p>
        </w:tc>
        <w:tc>
          <w:tcPr>
            <w:tcW w:w="1559" w:type="dxa"/>
            <w:tcBorders>
              <w:top w:val="nil"/>
              <w:left w:val="nil"/>
              <w:bottom w:val="nil"/>
              <w:right w:val="nil"/>
            </w:tcBorders>
            <w:shd w:val="clear" w:color="auto" w:fill="auto"/>
            <w:noWrap/>
            <w:tcMar>
              <w:top w:w="15" w:type="dxa"/>
              <w:left w:w="15" w:type="dxa"/>
              <w:bottom w:w="0" w:type="dxa"/>
              <w:right w:w="15" w:type="dxa"/>
            </w:tcMar>
            <w:vAlign w:val="bottom"/>
            <w:hideMark/>
          </w:tcPr>
          <w:p w14:paraId="31DBFA35" w14:textId="77777777" w:rsidR="00C544F5" w:rsidRPr="00440785" w:rsidRDefault="00C544F5" w:rsidP="0011213D">
            <w:pPr>
              <w:spacing w:line="360" w:lineRule="auto"/>
              <w:jc w:val="center"/>
              <w:rPr>
                <w:sz w:val="26"/>
                <w:szCs w:val="26"/>
              </w:rPr>
            </w:pPr>
          </w:p>
        </w:tc>
        <w:tc>
          <w:tcPr>
            <w:tcW w:w="1281" w:type="dxa"/>
            <w:tcBorders>
              <w:top w:val="nil"/>
              <w:left w:val="nil"/>
              <w:bottom w:val="nil"/>
              <w:right w:val="nil"/>
            </w:tcBorders>
            <w:shd w:val="clear" w:color="auto" w:fill="auto"/>
            <w:noWrap/>
            <w:tcMar>
              <w:top w:w="15" w:type="dxa"/>
              <w:left w:w="15" w:type="dxa"/>
              <w:bottom w:w="0" w:type="dxa"/>
              <w:right w:w="15" w:type="dxa"/>
            </w:tcMar>
            <w:vAlign w:val="bottom"/>
            <w:hideMark/>
          </w:tcPr>
          <w:p w14:paraId="5F1A9599" w14:textId="77777777" w:rsidR="00C544F5" w:rsidRPr="00440785" w:rsidRDefault="00C544F5" w:rsidP="0011213D">
            <w:pPr>
              <w:spacing w:line="360" w:lineRule="auto"/>
              <w:jc w:val="center"/>
              <w:rPr>
                <w:sz w:val="26"/>
                <w:szCs w:val="26"/>
              </w:rPr>
            </w:pPr>
            <w:r w:rsidRPr="00440785">
              <w:rPr>
                <w:sz w:val="26"/>
                <w:szCs w:val="26"/>
              </w:rPr>
              <w:t>(0.003)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9EA0053" w14:textId="77777777" w:rsidR="00C544F5" w:rsidRPr="00440785" w:rsidRDefault="00C544F5" w:rsidP="0011213D">
            <w:pPr>
              <w:spacing w:line="360" w:lineRule="auto"/>
              <w:jc w:val="center"/>
              <w:rPr>
                <w:sz w:val="26"/>
                <w:szCs w:val="26"/>
              </w:rPr>
            </w:pPr>
            <w:r w:rsidRPr="00440785">
              <w:rPr>
                <w:sz w:val="26"/>
                <w:szCs w:val="26"/>
              </w:rPr>
              <w:t>(0.004)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11B3FA7" w14:textId="77777777" w:rsidR="00C544F5" w:rsidRPr="00440785" w:rsidRDefault="00C544F5" w:rsidP="0011213D">
            <w:pPr>
              <w:spacing w:line="360" w:lineRule="auto"/>
              <w:jc w:val="center"/>
              <w:rPr>
                <w:sz w:val="26"/>
                <w:szCs w:val="26"/>
              </w:rPr>
            </w:pPr>
            <w:r w:rsidRPr="00440785">
              <w:rPr>
                <w:sz w:val="26"/>
                <w:szCs w:val="26"/>
              </w:rPr>
              <w:t>(0.004)</w:t>
            </w:r>
          </w:p>
        </w:tc>
      </w:tr>
      <w:tr w:rsidR="00C544F5" w:rsidRPr="00440785" w14:paraId="538F69ED" w14:textId="77777777" w:rsidTr="00C544F5">
        <w:trPr>
          <w:trHeight w:val="219"/>
          <w:jc w:val="center"/>
        </w:trPr>
        <w:tc>
          <w:tcPr>
            <w:tcW w:w="4353" w:type="dxa"/>
            <w:tcBorders>
              <w:top w:val="nil"/>
              <w:left w:val="nil"/>
              <w:bottom w:val="nil"/>
              <w:right w:val="nil"/>
            </w:tcBorders>
            <w:shd w:val="clear" w:color="auto" w:fill="auto"/>
            <w:noWrap/>
            <w:tcMar>
              <w:top w:w="15" w:type="dxa"/>
              <w:left w:w="15" w:type="dxa"/>
              <w:bottom w:w="0" w:type="dxa"/>
              <w:right w:w="15" w:type="dxa"/>
            </w:tcMar>
            <w:vAlign w:val="bottom"/>
            <w:hideMark/>
          </w:tcPr>
          <w:p w14:paraId="526F1664" w14:textId="77777777" w:rsidR="00C544F5" w:rsidRPr="00440785" w:rsidRDefault="00C544F5" w:rsidP="0011213D">
            <w:pPr>
              <w:spacing w:line="360" w:lineRule="auto"/>
              <w:rPr>
                <w:sz w:val="26"/>
                <w:szCs w:val="26"/>
              </w:rPr>
            </w:pPr>
            <w:r w:rsidRPr="00440785">
              <w:rPr>
                <w:sz w:val="26"/>
                <w:szCs w:val="26"/>
              </w:rPr>
              <w:t>Constant</w:t>
            </w:r>
          </w:p>
        </w:tc>
        <w:tc>
          <w:tcPr>
            <w:tcW w:w="1559" w:type="dxa"/>
            <w:tcBorders>
              <w:top w:val="nil"/>
              <w:left w:val="nil"/>
              <w:bottom w:val="nil"/>
              <w:right w:val="nil"/>
            </w:tcBorders>
            <w:shd w:val="clear" w:color="auto" w:fill="auto"/>
            <w:noWrap/>
            <w:tcMar>
              <w:top w:w="15" w:type="dxa"/>
              <w:left w:w="15" w:type="dxa"/>
              <w:bottom w:w="0" w:type="dxa"/>
              <w:right w:w="15" w:type="dxa"/>
            </w:tcMar>
            <w:vAlign w:val="bottom"/>
            <w:hideMark/>
          </w:tcPr>
          <w:p w14:paraId="0ABAE195" w14:textId="77777777" w:rsidR="00C544F5" w:rsidRPr="00440785" w:rsidRDefault="00C544F5" w:rsidP="0011213D">
            <w:pPr>
              <w:spacing w:line="360" w:lineRule="auto"/>
              <w:jc w:val="center"/>
              <w:rPr>
                <w:sz w:val="26"/>
                <w:szCs w:val="26"/>
              </w:rPr>
            </w:pPr>
            <w:r w:rsidRPr="00440785">
              <w:rPr>
                <w:sz w:val="26"/>
                <w:szCs w:val="26"/>
              </w:rPr>
              <w:t>2.755***</w:t>
            </w:r>
          </w:p>
        </w:tc>
        <w:tc>
          <w:tcPr>
            <w:tcW w:w="1281" w:type="dxa"/>
            <w:tcBorders>
              <w:top w:val="nil"/>
              <w:left w:val="nil"/>
              <w:bottom w:val="nil"/>
              <w:right w:val="nil"/>
            </w:tcBorders>
            <w:shd w:val="clear" w:color="auto" w:fill="auto"/>
            <w:noWrap/>
            <w:tcMar>
              <w:top w:w="15" w:type="dxa"/>
              <w:left w:w="15" w:type="dxa"/>
              <w:bottom w:w="0" w:type="dxa"/>
              <w:right w:w="15" w:type="dxa"/>
            </w:tcMar>
            <w:vAlign w:val="bottom"/>
            <w:hideMark/>
          </w:tcPr>
          <w:p w14:paraId="3E6CD025" w14:textId="77777777" w:rsidR="00C544F5" w:rsidRPr="00440785" w:rsidRDefault="00C544F5" w:rsidP="0011213D">
            <w:pPr>
              <w:spacing w:line="360" w:lineRule="auto"/>
              <w:jc w:val="center"/>
              <w:rPr>
                <w:sz w:val="26"/>
                <w:szCs w:val="26"/>
              </w:rPr>
            </w:pPr>
            <w:r w:rsidRPr="00440785">
              <w:rPr>
                <w:sz w:val="26"/>
                <w:szCs w:val="26"/>
              </w:rPr>
              <w:t>2.611***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F79EC10" w14:textId="77777777" w:rsidR="00C544F5" w:rsidRPr="00440785" w:rsidRDefault="00C544F5" w:rsidP="0011213D">
            <w:pPr>
              <w:spacing w:line="360" w:lineRule="auto"/>
              <w:jc w:val="center"/>
              <w:rPr>
                <w:sz w:val="26"/>
                <w:szCs w:val="26"/>
              </w:rPr>
            </w:pPr>
            <w:r w:rsidRPr="00440785">
              <w:rPr>
                <w:sz w:val="26"/>
                <w:szCs w:val="26"/>
              </w:rPr>
              <w:t>2.755***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3620CBC" w14:textId="77777777" w:rsidR="00C544F5" w:rsidRPr="00440785" w:rsidRDefault="00C544F5" w:rsidP="0011213D">
            <w:pPr>
              <w:spacing w:line="360" w:lineRule="auto"/>
              <w:jc w:val="center"/>
              <w:rPr>
                <w:sz w:val="26"/>
                <w:szCs w:val="26"/>
              </w:rPr>
            </w:pPr>
            <w:r w:rsidRPr="00440785">
              <w:rPr>
                <w:sz w:val="26"/>
                <w:szCs w:val="26"/>
              </w:rPr>
              <w:t>3.825***</w:t>
            </w:r>
          </w:p>
        </w:tc>
      </w:tr>
      <w:tr w:rsidR="00C544F5" w:rsidRPr="00440785" w14:paraId="36E4E9F1" w14:textId="77777777" w:rsidTr="00C544F5">
        <w:trPr>
          <w:trHeight w:val="219"/>
          <w:jc w:val="center"/>
        </w:trPr>
        <w:tc>
          <w:tcPr>
            <w:tcW w:w="4353" w:type="dxa"/>
            <w:tcBorders>
              <w:top w:val="nil"/>
              <w:left w:val="nil"/>
              <w:bottom w:val="nil"/>
              <w:right w:val="nil"/>
            </w:tcBorders>
            <w:shd w:val="clear" w:color="auto" w:fill="auto"/>
            <w:noWrap/>
            <w:tcMar>
              <w:top w:w="15" w:type="dxa"/>
              <w:left w:w="15" w:type="dxa"/>
              <w:bottom w:w="0" w:type="dxa"/>
              <w:right w:w="15" w:type="dxa"/>
            </w:tcMar>
            <w:vAlign w:val="bottom"/>
            <w:hideMark/>
          </w:tcPr>
          <w:p w14:paraId="3FDF9CF0" w14:textId="77777777" w:rsidR="00C544F5" w:rsidRPr="00440785" w:rsidRDefault="00C544F5" w:rsidP="0011213D">
            <w:pPr>
              <w:spacing w:line="360" w:lineRule="auto"/>
              <w:jc w:val="center"/>
              <w:rPr>
                <w:sz w:val="26"/>
                <w:szCs w:val="26"/>
              </w:rPr>
            </w:pPr>
          </w:p>
        </w:tc>
        <w:tc>
          <w:tcPr>
            <w:tcW w:w="1559" w:type="dxa"/>
            <w:tcBorders>
              <w:top w:val="nil"/>
              <w:left w:val="nil"/>
              <w:bottom w:val="nil"/>
              <w:right w:val="nil"/>
            </w:tcBorders>
            <w:shd w:val="clear" w:color="auto" w:fill="auto"/>
            <w:noWrap/>
            <w:tcMar>
              <w:top w:w="15" w:type="dxa"/>
              <w:left w:w="15" w:type="dxa"/>
              <w:bottom w:w="0" w:type="dxa"/>
              <w:right w:w="15" w:type="dxa"/>
            </w:tcMar>
            <w:vAlign w:val="bottom"/>
            <w:hideMark/>
          </w:tcPr>
          <w:p w14:paraId="009475FD" w14:textId="77777777" w:rsidR="00C544F5" w:rsidRPr="00440785" w:rsidRDefault="00C544F5" w:rsidP="0011213D">
            <w:pPr>
              <w:spacing w:line="360" w:lineRule="auto"/>
              <w:jc w:val="center"/>
              <w:rPr>
                <w:sz w:val="26"/>
                <w:szCs w:val="26"/>
              </w:rPr>
            </w:pPr>
            <w:r w:rsidRPr="00440785">
              <w:rPr>
                <w:sz w:val="26"/>
                <w:szCs w:val="26"/>
              </w:rPr>
              <w:t>(0.048)</w:t>
            </w:r>
          </w:p>
        </w:tc>
        <w:tc>
          <w:tcPr>
            <w:tcW w:w="1281" w:type="dxa"/>
            <w:tcBorders>
              <w:top w:val="nil"/>
              <w:left w:val="nil"/>
              <w:bottom w:val="nil"/>
              <w:right w:val="nil"/>
            </w:tcBorders>
            <w:shd w:val="clear" w:color="auto" w:fill="auto"/>
            <w:noWrap/>
            <w:tcMar>
              <w:top w:w="15" w:type="dxa"/>
              <w:left w:w="15" w:type="dxa"/>
              <w:bottom w:w="0" w:type="dxa"/>
              <w:right w:w="15" w:type="dxa"/>
            </w:tcMar>
            <w:vAlign w:val="bottom"/>
            <w:hideMark/>
          </w:tcPr>
          <w:p w14:paraId="5A7F135F" w14:textId="77777777" w:rsidR="00C544F5" w:rsidRPr="00440785" w:rsidRDefault="00C544F5" w:rsidP="0011213D">
            <w:pPr>
              <w:spacing w:line="360" w:lineRule="auto"/>
              <w:jc w:val="center"/>
              <w:rPr>
                <w:sz w:val="26"/>
                <w:szCs w:val="26"/>
              </w:rPr>
            </w:pPr>
            <w:r w:rsidRPr="00440785">
              <w:rPr>
                <w:sz w:val="26"/>
                <w:szCs w:val="26"/>
              </w:rPr>
              <w:t>(0.034)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81700A6" w14:textId="77777777" w:rsidR="00C544F5" w:rsidRPr="00440785" w:rsidRDefault="00C544F5" w:rsidP="0011213D">
            <w:pPr>
              <w:spacing w:line="360" w:lineRule="auto"/>
              <w:jc w:val="center"/>
              <w:rPr>
                <w:sz w:val="26"/>
                <w:szCs w:val="26"/>
              </w:rPr>
            </w:pPr>
            <w:r w:rsidRPr="00440785">
              <w:rPr>
                <w:sz w:val="26"/>
                <w:szCs w:val="26"/>
              </w:rPr>
              <w:t>(0.048)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580BD25" w14:textId="77777777" w:rsidR="00C544F5" w:rsidRPr="00440785" w:rsidRDefault="00C544F5" w:rsidP="0011213D">
            <w:pPr>
              <w:spacing w:line="360" w:lineRule="auto"/>
              <w:jc w:val="center"/>
              <w:rPr>
                <w:sz w:val="26"/>
                <w:szCs w:val="26"/>
              </w:rPr>
            </w:pPr>
            <w:r w:rsidRPr="00440785">
              <w:rPr>
                <w:sz w:val="26"/>
                <w:szCs w:val="26"/>
              </w:rPr>
              <w:t>(0.050)</w:t>
            </w:r>
          </w:p>
        </w:tc>
      </w:tr>
      <w:tr w:rsidR="00C544F5" w:rsidRPr="00440785" w14:paraId="40E3E25E" w14:textId="77777777" w:rsidTr="00C544F5">
        <w:trPr>
          <w:trHeight w:val="219"/>
          <w:jc w:val="center"/>
        </w:trPr>
        <w:tc>
          <w:tcPr>
            <w:tcW w:w="4353" w:type="dxa"/>
            <w:tcBorders>
              <w:top w:val="nil"/>
              <w:left w:val="nil"/>
              <w:bottom w:val="single" w:sz="4" w:space="0" w:color="000000"/>
              <w:right w:val="nil"/>
            </w:tcBorders>
            <w:shd w:val="clear" w:color="auto" w:fill="auto"/>
            <w:noWrap/>
            <w:tcMar>
              <w:top w:w="15" w:type="dxa"/>
              <w:left w:w="15" w:type="dxa"/>
              <w:bottom w:w="0" w:type="dxa"/>
              <w:right w:w="15" w:type="dxa"/>
            </w:tcMar>
            <w:vAlign w:val="bottom"/>
            <w:hideMark/>
          </w:tcPr>
          <w:p w14:paraId="06EF908E" w14:textId="77777777" w:rsidR="00C544F5" w:rsidRPr="00440785" w:rsidRDefault="00C544F5" w:rsidP="0011213D">
            <w:pPr>
              <w:spacing w:line="360" w:lineRule="auto"/>
              <w:rPr>
                <w:sz w:val="26"/>
                <w:szCs w:val="26"/>
              </w:rPr>
            </w:pPr>
            <w:r w:rsidRPr="00440785">
              <w:rPr>
                <w:sz w:val="26"/>
                <w:szCs w:val="26"/>
              </w:rPr>
              <w:t>Observations</w:t>
            </w:r>
          </w:p>
        </w:tc>
        <w:tc>
          <w:tcPr>
            <w:tcW w:w="1559" w:type="dxa"/>
            <w:tcBorders>
              <w:top w:val="nil"/>
              <w:left w:val="nil"/>
              <w:bottom w:val="single" w:sz="4" w:space="0" w:color="000000"/>
              <w:right w:val="nil"/>
            </w:tcBorders>
            <w:shd w:val="clear" w:color="auto" w:fill="auto"/>
            <w:noWrap/>
            <w:tcMar>
              <w:top w:w="15" w:type="dxa"/>
              <w:left w:w="15" w:type="dxa"/>
              <w:bottom w:w="0" w:type="dxa"/>
              <w:right w:w="15" w:type="dxa"/>
            </w:tcMar>
            <w:vAlign w:val="bottom"/>
            <w:hideMark/>
          </w:tcPr>
          <w:p w14:paraId="2F894E6F" w14:textId="77777777" w:rsidR="00C544F5" w:rsidRPr="00440785" w:rsidRDefault="00C544F5" w:rsidP="0011213D">
            <w:pPr>
              <w:spacing w:line="360" w:lineRule="auto"/>
              <w:jc w:val="center"/>
              <w:rPr>
                <w:sz w:val="26"/>
                <w:szCs w:val="26"/>
              </w:rPr>
            </w:pPr>
            <w:r w:rsidRPr="00440785">
              <w:rPr>
                <w:sz w:val="26"/>
                <w:szCs w:val="26"/>
              </w:rPr>
              <w:t>237</w:t>
            </w:r>
          </w:p>
        </w:tc>
        <w:tc>
          <w:tcPr>
            <w:tcW w:w="1281" w:type="dxa"/>
            <w:tcBorders>
              <w:top w:val="nil"/>
              <w:left w:val="nil"/>
              <w:bottom w:val="single" w:sz="4" w:space="0" w:color="000000"/>
              <w:right w:val="nil"/>
            </w:tcBorders>
            <w:shd w:val="clear" w:color="auto" w:fill="auto"/>
            <w:noWrap/>
            <w:tcMar>
              <w:top w:w="15" w:type="dxa"/>
              <w:left w:w="15" w:type="dxa"/>
              <w:bottom w:w="0" w:type="dxa"/>
              <w:right w:w="15" w:type="dxa"/>
            </w:tcMar>
            <w:vAlign w:val="bottom"/>
            <w:hideMark/>
          </w:tcPr>
          <w:p w14:paraId="4192D0AA" w14:textId="77777777" w:rsidR="00C544F5" w:rsidRPr="00440785" w:rsidRDefault="00C544F5" w:rsidP="0011213D">
            <w:pPr>
              <w:spacing w:line="360" w:lineRule="auto"/>
              <w:jc w:val="center"/>
              <w:rPr>
                <w:sz w:val="26"/>
                <w:szCs w:val="26"/>
              </w:rPr>
            </w:pPr>
            <w:r w:rsidRPr="00440785">
              <w:rPr>
                <w:sz w:val="26"/>
                <w:szCs w:val="26"/>
              </w:rPr>
              <w:t>237</w:t>
            </w:r>
          </w:p>
        </w:tc>
        <w:tc>
          <w:tcPr>
            <w:tcW w:w="0" w:type="auto"/>
            <w:tcBorders>
              <w:top w:val="nil"/>
              <w:left w:val="nil"/>
              <w:bottom w:val="single" w:sz="4" w:space="0" w:color="000000"/>
              <w:right w:val="nil"/>
            </w:tcBorders>
            <w:shd w:val="clear" w:color="auto" w:fill="auto"/>
            <w:noWrap/>
            <w:tcMar>
              <w:top w:w="15" w:type="dxa"/>
              <w:left w:w="15" w:type="dxa"/>
              <w:bottom w:w="0" w:type="dxa"/>
              <w:right w:w="15" w:type="dxa"/>
            </w:tcMar>
            <w:vAlign w:val="bottom"/>
            <w:hideMark/>
          </w:tcPr>
          <w:p w14:paraId="385BE984" w14:textId="77777777" w:rsidR="00C544F5" w:rsidRPr="00440785" w:rsidRDefault="00C544F5" w:rsidP="0011213D">
            <w:pPr>
              <w:spacing w:line="360" w:lineRule="auto"/>
              <w:jc w:val="center"/>
              <w:rPr>
                <w:sz w:val="26"/>
                <w:szCs w:val="26"/>
              </w:rPr>
            </w:pPr>
            <w:r w:rsidRPr="00440785">
              <w:rPr>
                <w:sz w:val="26"/>
                <w:szCs w:val="26"/>
              </w:rPr>
              <w:t>237</w:t>
            </w:r>
          </w:p>
        </w:tc>
        <w:tc>
          <w:tcPr>
            <w:tcW w:w="0" w:type="auto"/>
            <w:tcBorders>
              <w:top w:val="nil"/>
              <w:left w:val="nil"/>
              <w:bottom w:val="single" w:sz="4" w:space="0" w:color="000000"/>
              <w:right w:val="nil"/>
            </w:tcBorders>
            <w:shd w:val="clear" w:color="auto" w:fill="auto"/>
            <w:noWrap/>
            <w:tcMar>
              <w:top w:w="15" w:type="dxa"/>
              <w:left w:w="15" w:type="dxa"/>
              <w:bottom w:w="0" w:type="dxa"/>
              <w:right w:w="15" w:type="dxa"/>
            </w:tcMar>
            <w:vAlign w:val="bottom"/>
            <w:hideMark/>
          </w:tcPr>
          <w:p w14:paraId="391A4C0A" w14:textId="77777777" w:rsidR="00C544F5" w:rsidRPr="00440785" w:rsidRDefault="00C544F5" w:rsidP="0011213D">
            <w:pPr>
              <w:spacing w:line="360" w:lineRule="auto"/>
              <w:jc w:val="center"/>
              <w:rPr>
                <w:sz w:val="26"/>
                <w:szCs w:val="26"/>
              </w:rPr>
            </w:pPr>
            <w:r w:rsidRPr="00440785">
              <w:rPr>
                <w:sz w:val="26"/>
                <w:szCs w:val="26"/>
              </w:rPr>
              <w:t>237</w:t>
            </w:r>
          </w:p>
        </w:tc>
      </w:tr>
    </w:tbl>
    <w:p w14:paraId="4B2E9FB0" w14:textId="2020F3D7" w:rsidR="00142412" w:rsidRPr="00440785" w:rsidRDefault="00FA179D" w:rsidP="003F327A">
      <w:pPr>
        <w:spacing w:line="480" w:lineRule="auto"/>
        <w:ind w:firstLine="709"/>
        <w:jc w:val="both"/>
        <w:rPr>
          <w:sz w:val="26"/>
          <w:szCs w:val="26"/>
        </w:rPr>
      </w:pPr>
      <w:r w:rsidRPr="00440785">
        <w:rPr>
          <w:sz w:val="26"/>
          <w:szCs w:val="26"/>
        </w:rPr>
        <w:t xml:space="preserve">                                </w:t>
      </w:r>
      <w:r w:rsidR="008A36AF" w:rsidRPr="00440785">
        <w:rPr>
          <w:sz w:val="26"/>
          <w:szCs w:val="26"/>
        </w:rPr>
        <w:tab/>
      </w:r>
      <w:r w:rsidR="008A36AF" w:rsidRPr="00440785">
        <w:rPr>
          <w:sz w:val="26"/>
          <w:szCs w:val="26"/>
        </w:rPr>
        <w:tab/>
      </w:r>
      <w:r w:rsidR="00DC7FC6" w:rsidRPr="00440785">
        <w:rPr>
          <w:sz w:val="26"/>
          <w:szCs w:val="26"/>
        </w:rPr>
        <w:t>Source: Tính toán của tác giả từ bộ dữ liệu VHLSS</w:t>
      </w:r>
    </w:p>
    <w:p w14:paraId="496BE69E" w14:textId="2BE34F3D" w:rsidR="00E7689C" w:rsidRPr="0011213D" w:rsidRDefault="00B471B6" w:rsidP="0011213D">
      <w:pPr>
        <w:spacing w:line="480" w:lineRule="auto"/>
        <w:rPr>
          <w:rFonts w:eastAsia="Times New Roman"/>
          <w:sz w:val="26"/>
          <w:szCs w:val="26"/>
        </w:rPr>
      </w:pPr>
      <w:r w:rsidRPr="00440785">
        <w:rPr>
          <w:sz w:val="26"/>
          <w:szCs w:val="26"/>
        </w:rPr>
        <w:t xml:space="preserve">            </w:t>
      </w:r>
      <w:r w:rsidR="00DC7FC6" w:rsidRPr="00440785">
        <w:rPr>
          <w:sz w:val="26"/>
          <w:szCs w:val="26"/>
        </w:rPr>
        <w:tab/>
      </w:r>
      <w:r w:rsidR="00DC7FC6" w:rsidRPr="00440785">
        <w:rPr>
          <w:sz w:val="26"/>
          <w:szCs w:val="26"/>
        </w:rPr>
        <w:tab/>
      </w:r>
      <w:r w:rsidR="00DC7FC6" w:rsidRPr="00440785">
        <w:rPr>
          <w:sz w:val="26"/>
          <w:szCs w:val="26"/>
        </w:rPr>
        <w:tab/>
      </w:r>
      <w:r w:rsidR="00DC7FC6" w:rsidRPr="00440785">
        <w:rPr>
          <w:sz w:val="26"/>
          <w:szCs w:val="26"/>
        </w:rPr>
        <w:tab/>
      </w:r>
      <w:r w:rsidR="00DC7FC6" w:rsidRPr="00440785">
        <w:rPr>
          <w:sz w:val="26"/>
          <w:szCs w:val="26"/>
        </w:rPr>
        <w:tab/>
      </w:r>
      <w:r w:rsidR="00DC7FC6" w:rsidRPr="00440785">
        <w:rPr>
          <w:sz w:val="26"/>
          <w:szCs w:val="26"/>
        </w:rPr>
        <w:tab/>
      </w:r>
      <w:r w:rsidR="00DC7FC6" w:rsidRPr="00440785">
        <w:rPr>
          <w:rFonts w:eastAsia="Times New Roman"/>
          <w:sz w:val="26"/>
          <w:szCs w:val="26"/>
        </w:rPr>
        <w:t>*** p&lt;0.01, ** p&lt;0.05, * p&lt;0.1</w:t>
      </w:r>
    </w:p>
    <w:p w14:paraId="17FCDD18" w14:textId="648CA40E" w:rsidR="00E954A8" w:rsidRPr="00440785" w:rsidRDefault="00E954A8" w:rsidP="003F327A">
      <w:pPr>
        <w:spacing w:line="480" w:lineRule="auto"/>
        <w:ind w:firstLine="709"/>
        <w:jc w:val="both"/>
        <w:rPr>
          <w:sz w:val="26"/>
          <w:szCs w:val="26"/>
        </w:rPr>
      </w:pPr>
      <w:r w:rsidRPr="00440785">
        <w:rPr>
          <w:sz w:val="26"/>
          <w:szCs w:val="26"/>
        </w:rPr>
        <w:t>Để tránh hiện tượng đa cộng tuyến giữa biến tổng thu nhậ</w:t>
      </w:r>
      <w:r w:rsidR="00AD7A56" w:rsidRPr="00440785">
        <w:rPr>
          <w:sz w:val="26"/>
          <w:szCs w:val="26"/>
        </w:rPr>
        <w:t xml:space="preserve">p, </w:t>
      </w:r>
      <w:r w:rsidRPr="00440785">
        <w:rPr>
          <w:sz w:val="26"/>
          <w:szCs w:val="26"/>
        </w:rPr>
        <w:t>thu nhập từ nông nghiệp</w:t>
      </w:r>
      <w:r w:rsidR="00AD7A56" w:rsidRPr="00440785">
        <w:rPr>
          <w:sz w:val="26"/>
          <w:szCs w:val="26"/>
        </w:rPr>
        <w:t xml:space="preserve"> và quy mô sản xuất nông nghiệp thể hiện bởi biến diện tích đất nông nghiệp</w:t>
      </w:r>
      <w:r w:rsidRPr="00440785">
        <w:rPr>
          <w:sz w:val="26"/>
          <w:szCs w:val="26"/>
        </w:rPr>
        <w:t>, tác giả tiến hàn</w:t>
      </w:r>
      <w:r w:rsidR="00AD7A56" w:rsidRPr="00440785">
        <w:rPr>
          <w:sz w:val="26"/>
          <w:szCs w:val="26"/>
        </w:rPr>
        <w:t>h tách ra thành các MH1, MH2, MH3 và MH4 để kiểm tra độ tin cậy của kết quả phân tích.</w:t>
      </w:r>
      <w:r w:rsidR="00E7689C">
        <w:rPr>
          <w:sz w:val="26"/>
          <w:szCs w:val="26"/>
        </w:rPr>
        <w:t xml:space="preserve"> Kết quả của bảng 2 cho thấy không có sự khác biệt về dấu của các biến trong mô hình ngoại trừ biến tuổi.</w:t>
      </w:r>
    </w:p>
    <w:p w14:paraId="13C9B396" w14:textId="015E49AB" w:rsidR="0013381F" w:rsidRPr="00440785" w:rsidRDefault="0088020C" w:rsidP="0013381F">
      <w:pPr>
        <w:spacing w:line="480" w:lineRule="auto"/>
        <w:ind w:firstLine="709"/>
        <w:jc w:val="both"/>
        <w:rPr>
          <w:sz w:val="26"/>
          <w:szCs w:val="26"/>
        </w:rPr>
      </w:pPr>
      <w:r w:rsidRPr="00440785">
        <w:rPr>
          <w:sz w:val="26"/>
          <w:szCs w:val="26"/>
        </w:rPr>
        <w:t>C</w:t>
      </w:r>
      <w:r w:rsidR="000B4EA4" w:rsidRPr="00440785">
        <w:rPr>
          <w:sz w:val="26"/>
          <w:szCs w:val="26"/>
        </w:rPr>
        <w:t>ác yếu tố</w:t>
      </w:r>
      <w:r w:rsidRPr="00440785">
        <w:rPr>
          <w:sz w:val="26"/>
          <w:szCs w:val="26"/>
        </w:rPr>
        <w:t xml:space="preserve"> có tác động cùng chiều với </w:t>
      </w:r>
      <w:r w:rsidR="000B4EA4" w:rsidRPr="00440785">
        <w:rPr>
          <w:sz w:val="26"/>
          <w:szCs w:val="26"/>
        </w:rPr>
        <w:t>khả năng tiếp cận tín dụng chính thức của hộ gia đình</w:t>
      </w:r>
      <w:r w:rsidR="004D5460" w:rsidRPr="00440785">
        <w:rPr>
          <w:sz w:val="26"/>
          <w:szCs w:val="26"/>
        </w:rPr>
        <w:t xml:space="preserve"> bao gồm: </w:t>
      </w:r>
      <w:r w:rsidR="00E7689C">
        <w:rPr>
          <w:sz w:val="26"/>
          <w:szCs w:val="26"/>
        </w:rPr>
        <w:t>giáo dục, giới tính, ngành nghề chính của chủ hộ, tổng số người trong hộ và diện tích đất nông nghiệp, trong khi đó các biến có tác động ngược chiều với khả năng tiếp cận tín dụng chính thức của hộ nghèo bao gồm: chuyên môn của chủ hộ, tỷ lệ số người phụ thuộc trong hộ, thu nhập từ nông nghiệp và tổng thu nhập của hộ.</w:t>
      </w:r>
      <w:r w:rsidR="00950319">
        <w:rPr>
          <w:sz w:val="26"/>
          <w:szCs w:val="26"/>
        </w:rPr>
        <w:t xml:space="preserve"> Hệ số dương cho các biến giáo dục và giới tính được giải thích như sau: các hộ gia đình có chủ hộ là nam giới và học hành càng cao thì dễ dàng tiếp cận tín dụng chính thức hơn. Trình độ học vấn thể hiện sự hiểu biết của chủ hộ với các quy </w:t>
      </w:r>
      <w:r w:rsidR="00950319">
        <w:rPr>
          <w:sz w:val="26"/>
          <w:szCs w:val="26"/>
        </w:rPr>
        <w:lastRenderedPageBreak/>
        <w:t>trình vay vốn cũng như nắm rõ các thông tin về nguồn vay trên địa bàn sinh sống</w:t>
      </w:r>
      <w:r w:rsidR="0013381F" w:rsidRPr="00440785">
        <w:rPr>
          <w:sz w:val="26"/>
          <w:szCs w:val="26"/>
        </w:rPr>
        <w:t>.</w:t>
      </w:r>
      <w:r w:rsidR="0013381F">
        <w:rPr>
          <w:sz w:val="26"/>
          <w:szCs w:val="26"/>
        </w:rPr>
        <w:t xml:space="preserve"> </w:t>
      </w:r>
      <w:r w:rsidR="0013381F" w:rsidRPr="00440785">
        <w:rPr>
          <w:sz w:val="26"/>
          <w:szCs w:val="26"/>
        </w:rPr>
        <w:t>Kết quả</w:t>
      </w:r>
      <w:r w:rsidR="0013381F">
        <w:rPr>
          <w:sz w:val="26"/>
          <w:szCs w:val="26"/>
        </w:rPr>
        <w:t xml:space="preserve"> này giống với nghiên cứu của nhóm tác giả Phan Đình Khôi và cộng sự </w:t>
      </w:r>
      <w:r w:rsidR="0013381F" w:rsidRPr="00440785">
        <w:rPr>
          <w:sz w:val="26"/>
          <w:szCs w:val="26"/>
        </w:rPr>
        <w:t>(2013).</w:t>
      </w:r>
      <w:r w:rsidR="0013381F">
        <w:rPr>
          <w:sz w:val="26"/>
          <w:szCs w:val="26"/>
        </w:rPr>
        <w:t xml:space="preserve"> Tuy nhiên kết quả này trái ngược với một số nghiên cứu kháckhác, những nghiên cứu này cho rằng: </w:t>
      </w:r>
      <w:r w:rsidR="0013381F" w:rsidRPr="00440785">
        <w:rPr>
          <w:sz w:val="26"/>
          <w:szCs w:val="26"/>
        </w:rPr>
        <w:t>khả năng trình độ học vấn càng cao, họ có xu hướng tiếp cận các công việc được trả lương nên họ có ít nhu cầu tín dụng vay vốn tự sản xuất (Duy, D’</w:t>
      </w:r>
      <w:r w:rsidR="0013381F">
        <w:rPr>
          <w:sz w:val="26"/>
          <w:szCs w:val="26"/>
        </w:rPr>
        <w:t xml:space="preserve">Haese, Lemba, &amp; D’Haese, 2012). </w:t>
      </w:r>
    </w:p>
    <w:p w14:paraId="6AE869AA" w14:textId="13CA4FAE" w:rsidR="00E7689C" w:rsidRDefault="00950319" w:rsidP="003F327A">
      <w:pPr>
        <w:spacing w:line="480" w:lineRule="auto"/>
        <w:ind w:firstLine="709"/>
        <w:jc w:val="both"/>
        <w:rPr>
          <w:sz w:val="26"/>
          <w:szCs w:val="26"/>
        </w:rPr>
      </w:pPr>
      <w:r>
        <w:rPr>
          <w:sz w:val="26"/>
          <w:szCs w:val="26"/>
        </w:rPr>
        <w:t xml:space="preserve"> Kết quả được giải thích tương tự với biến ngành nghề chính của chủ hộ và diện tích đất nông nghiệp, cụ thể những hộ mà ngành nghề chính của chủ hộ là nông nghiệp và quy mô diện tích sản xuất nông nghiệp càng lớn thì nhu cầu tiếp cận tín dụng chính thức càng lớn</w:t>
      </w:r>
      <w:r w:rsidR="0013381F">
        <w:rPr>
          <w:sz w:val="26"/>
          <w:szCs w:val="26"/>
        </w:rPr>
        <w:t>. Điều này phản ánh nhu cầu tiếp cận vốn chính thức của hộ nghèo đầu tư cho sản xuất nông nghiệp nhằm gia tăng thu nhập.</w:t>
      </w:r>
    </w:p>
    <w:p w14:paraId="64763C7A" w14:textId="535F6FA5" w:rsidR="004D5460" w:rsidRPr="00440785" w:rsidRDefault="005479FD" w:rsidP="003F327A">
      <w:pPr>
        <w:spacing w:line="480" w:lineRule="auto"/>
        <w:ind w:firstLine="709"/>
        <w:jc w:val="both"/>
        <w:rPr>
          <w:sz w:val="26"/>
          <w:szCs w:val="26"/>
        </w:rPr>
      </w:pPr>
      <w:r>
        <w:rPr>
          <w:sz w:val="26"/>
          <w:szCs w:val="26"/>
        </w:rPr>
        <w:t xml:space="preserve">Hệ số của biến tỷ lệ số người phụ thuộc trong hộ và chuyên môn của chủ hộ mang dấu âm thể hiện sự tác động ngược chiều tới khả năng tiếp cận tín dụng chính thức. </w:t>
      </w:r>
      <w:r w:rsidR="004D5460" w:rsidRPr="00440785">
        <w:rPr>
          <w:sz w:val="26"/>
          <w:szCs w:val="26"/>
        </w:rPr>
        <w:t>Điều này có nghĩa khi tỷ lệ phụ thuộc trong gia đình càng lớn</w:t>
      </w:r>
      <w:r>
        <w:rPr>
          <w:sz w:val="26"/>
          <w:szCs w:val="26"/>
        </w:rPr>
        <w:t xml:space="preserve"> và chủ hộ chỉ là lao động giản đơn (không có chuyên môn kỹ thuật)</w:t>
      </w:r>
      <w:r w:rsidR="004D5460" w:rsidRPr="00440785">
        <w:rPr>
          <w:sz w:val="26"/>
          <w:szCs w:val="26"/>
        </w:rPr>
        <w:t xml:space="preserve">, </w:t>
      </w:r>
      <w:r w:rsidR="0013381F">
        <w:rPr>
          <w:sz w:val="26"/>
          <w:szCs w:val="26"/>
        </w:rPr>
        <w:t xml:space="preserve">khả năng </w:t>
      </w:r>
      <w:r w:rsidR="004D5460" w:rsidRPr="00440785">
        <w:rPr>
          <w:sz w:val="26"/>
          <w:szCs w:val="26"/>
        </w:rPr>
        <w:t>hộ</w:t>
      </w:r>
      <w:r w:rsidR="0013381F">
        <w:rPr>
          <w:sz w:val="26"/>
          <w:szCs w:val="26"/>
        </w:rPr>
        <w:t xml:space="preserve"> được </w:t>
      </w:r>
      <w:r w:rsidR="004D5460" w:rsidRPr="00440785">
        <w:rPr>
          <w:sz w:val="26"/>
          <w:szCs w:val="26"/>
        </w:rPr>
        <w:t>tiếp cận các nguồn vốn tín dụ</w:t>
      </w:r>
      <w:r w:rsidR="0013381F">
        <w:rPr>
          <w:sz w:val="26"/>
          <w:szCs w:val="26"/>
        </w:rPr>
        <w:t xml:space="preserve">ng ưu đãi chính thức càng thấp. Trên thực tế các nguồn vay ưu đãi dành cho người nghèo vẫn cần xem xét tới khả năng trả nợ của hộ. Những hộ có số người phụ thuộc không có thu nhập và lao động giản đơn sẽ phản ánh thu nhập không ổn định, điều này là bất lợi khi xem xét tới khả năng trả nợ của hộ. </w:t>
      </w:r>
    </w:p>
    <w:p w14:paraId="6B3159B3" w14:textId="5C77DD31" w:rsidR="0011213D" w:rsidRDefault="000B4EA4" w:rsidP="0011213D">
      <w:pPr>
        <w:spacing w:line="480" w:lineRule="auto"/>
        <w:ind w:firstLine="709"/>
        <w:jc w:val="both"/>
        <w:rPr>
          <w:sz w:val="26"/>
          <w:szCs w:val="26"/>
        </w:rPr>
      </w:pPr>
      <w:r w:rsidRPr="00440785">
        <w:rPr>
          <w:sz w:val="26"/>
          <w:szCs w:val="26"/>
        </w:rPr>
        <w:t>Mặ</w:t>
      </w:r>
      <w:r w:rsidR="004D5460" w:rsidRPr="00440785">
        <w:rPr>
          <w:sz w:val="26"/>
          <w:szCs w:val="26"/>
        </w:rPr>
        <w:t>t khác,</w:t>
      </w:r>
      <w:r w:rsidR="00C25251" w:rsidRPr="00440785">
        <w:rPr>
          <w:sz w:val="26"/>
          <w:szCs w:val="26"/>
        </w:rPr>
        <w:t xml:space="preserve"> nếu như diện tích đất nông nghiệp có tác động cùng chiều với tiếp cận tín dụng chính thức thì</w:t>
      </w:r>
      <w:r w:rsidR="004D5460" w:rsidRPr="00440785">
        <w:rPr>
          <w:sz w:val="26"/>
          <w:szCs w:val="26"/>
        </w:rPr>
        <w:t xml:space="preserve"> hệ số</w:t>
      </w:r>
      <w:r w:rsidRPr="00440785">
        <w:rPr>
          <w:sz w:val="26"/>
          <w:szCs w:val="26"/>
        </w:rPr>
        <w:t xml:space="preserve"> củ</w:t>
      </w:r>
      <w:r w:rsidR="004D5460" w:rsidRPr="00440785">
        <w:rPr>
          <w:sz w:val="26"/>
          <w:szCs w:val="26"/>
        </w:rPr>
        <w:t xml:space="preserve">a biến </w:t>
      </w:r>
      <w:r w:rsidRPr="00440785">
        <w:rPr>
          <w:sz w:val="26"/>
          <w:szCs w:val="26"/>
        </w:rPr>
        <w:t>tổng thu nhập</w:t>
      </w:r>
      <w:r w:rsidR="004D5460" w:rsidRPr="00440785">
        <w:rPr>
          <w:sz w:val="26"/>
          <w:szCs w:val="26"/>
        </w:rPr>
        <w:t xml:space="preserve"> và thu nhập từ nông nghiệp có tác động ngược chiều và có mức ý nghĩa thống kê 1%</w:t>
      </w:r>
      <w:r w:rsidR="00C25251" w:rsidRPr="00440785">
        <w:rPr>
          <w:sz w:val="26"/>
          <w:szCs w:val="26"/>
        </w:rPr>
        <w:t>. Điều này thể hiện, những hộ nghèo thườ</w:t>
      </w:r>
      <w:r w:rsidR="00954459">
        <w:rPr>
          <w:sz w:val="26"/>
          <w:szCs w:val="26"/>
        </w:rPr>
        <w:t>ng chỉ có thể tiếp</w:t>
      </w:r>
      <w:r w:rsidR="00C25251" w:rsidRPr="00440785">
        <w:rPr>
          <w:sz w:val="26"/>
          <w:szCs w:val="26"/>
        </w:rPr>
        <w:t xml:space="preserve"> cận vốn tín dụ</w:t>
      </w:r>
      <w:r w:rsidR="00954459">
        <w:rPr>
          <w:sz w:val="26"/>
          <w:szCs w:val="26"/>
        </w:rPr>
        <w:t>ng ưu đãi</w:t>
      </w:r>
      <w:r w:rsidR="00C25251" w:rsidRPr="00440785">
        <w:rPr>
          <w:sz w:val="26"/>
          <w:szCs w:val="26"/>
        </w:rPr>
        <w:t>, đặc biệt là ở khu vực trung du và miền núi phía Bắc với tỷ lệ hộ nghèo cao nhất cả nước.</w:t>
      </w:r>
    </w:p>
    <w:p w14:paraId="6FF0857A" w14:textId="77777777" w:rsidR="0011213D" w:rsidRPr="00440785" w:rsidRDefault="0011213D" w:rsidP="0011213D">
      <w:pPr>
        <w:pStyle w:val="MDPI31text"/>
        <w:spacing w:line="480" w:lineRule="auto"/>
        <w:ind w:firstLine="0"/>
        <w:rPr>
          <w:rFonts w:ascii="Times New Roman" w:hAnsi="Times New Roman"/>
          <w:b/>
          <w:sz w:val="26"/>
          <w:szCs w:val="26"/>
        </w:rPr>
      </w:pPr>
      <w:r w:rsidRPr="00440785">
        <w:rPr>
          <w:rFonts w:ascii="Times New Roman" w:hAnsi="Times New Roman"/>
          <w:b/>
          <w:sz w:val="26"/>
          <w:szCs w:val="26"/>
        </w:rPr>
        <w:lastRenderedPageBreak/>
        <w:t>5. Kết luận và hàm ý chính sách</w:t>
      </w:r>
    </w:p>
    <w:p w14:paraId="793D79AD" w14:textId="2C377C45" w:rsidR="0011213D" w:rsidRPr="00440785" w:rsidRDefault="0011213D" w:rsidP="0011213D">
      <w:pPr>
        <w:pStyle w:val="MDPI31text"/>
        <w:spacing w:line="480" w:lineRule="auto"/>
        <w:rPr>
          <w:rFonts w:ascii="Times New Roman" w:hAnsi="Times New Roman"/>
          <w:sz w:val="26"/>
          <w:szCs w:val="26"/>
        </w:rPr>
      </w:pPr>
      <w:r w:rsidRPr="00440785">
        <w:rPr>
          <w:rFonts w:ascii="Times New Roman" w:hAnsi="Times New Roman"/>
          <w:sz w:val="26"/>
          <w:szCs w:val="26"/>
        </w:rPr>
        <w:t>Nghiên cứu này đã nhận diện các yếu tố quyết định khả năng tiếp cận tín dụng</w:t>
      </w:r>
      <w:r w:rsidR="002835D3">
        <w:rPr>
          <w:rFonts w:ascii="Times New Roman" w:hAnsi="Times New Roman"/>
          <w:sz w:val="26"/>
          <w:szCs w:val="26"/>
        </w:rPr>
        <w:t xml:space="preserve"> chính thức của hộ nghèo</w:t>
      </w:r>
      <w:r w:rsidRPr="00440785">
        <w:rPr>
          <w:rFonts w:ascii="Times New Roman" w:hAnsi="Times New Roman"/>
          <w:sz w:val="26"/>
          <w:szCs w:val="26"/>
        </w:rPr>
        <w:t xml:space="preserve"> ở vùng nông thôn Việt Nam với trường hợp khu v</w:t>
      </w:r>
      <w:r>
        <w:rPr>
          <w:rFonts w:ascii="Times New Roman" w:hAnsi="Times New Roman"/>
          <w:sz w:val="26"/>
          <w:szCs w:val="26"/>
        </w:rPr>
        <w:t xml:space="preserve">ực trung du và miền núi phía </w:t>
      </w:r>
      <w:r w:rsidRPr="00440785">
        <w:rPr>
          <w:rFonts w:ascii="Times New Roman" w:hAnsi="Times New Roman"/>
          <w:sz w:val="26"/>
          <w:szCs w:val="26"/>
        </w:rPr>
        <w:t xml:space="preserve">Bắc. Kết quả của bài báo khẳng định rằng sự tham gia thị trường tín dụng chính thức </w:t>
      </w:r>
      <w:r w:rsidR="002835D3">
        <w:rPr>
          <w:rFonts w:ascii="Times New Roman" w:hAnsi="Times New Roman"/>
          <w:sz w:val="26"/>
          <w:szCs w:val="26"/>
        </w:rPr>
        <w:t>của hộ nghèo</w:t>
      </w:r>
      <w:r w:rsidRPr="00440785">
        <w:rPr>
          <w:rFonts w:ascii="Times New Roman" w:hAnsi="Times New Roman"/>
          <w:sz w:val="26"/>
          <w:szCs w:val="26"/>
        </w:rPr>
        <w:t xml:space="preserve"> bị ảnh hưởng bởi: trình độ học vấn, tổng số người trong gia đình, tuổi chủ hộ, nghề nghiệp, diện tích đấ</w:t>
      </w:r>
      <w:r w:rsidR="002835D3">
        <w:rPr>
          <w:rFonts w:ascii="Times New Roman" w:hAnsi="Times New Roman"/>
          <w:sz w:val="26"/>
          <w:szCs w:val="26"/>
        </w:rPr>
        <w:t xml:space="preserve">t nông nghiệp và tổng thu nhập. </w:t>
      </w:r>
      <w:r w:rsidRPr="00440785">
        <w:rPr>
          <w:rFonts w:ascii="Times New Roman" w:hAnsi="Times New Roman"/>
          <w:sz w:val="26"/>
          <w:szCs w:val="26"/>
        </w:rPr>
        <w:t>Kết quả này phản ánh thực trạng hiện nay tại khu vực có tỷ lệ hộ nghèo cao nhất cả nước, hộ nghèo có thu nhập thấp chủ yếu</w:t>
      </w:r>
      <w:r w:rsidR="00954459">
        <w:rPr>
          <w:rFonts w:ascii="Times New Roman" w:hAnsi="Times New Roman"/>
          <w:sz w:val="26"/>
          <w:szCs w:val="26"/>
        </w:rPr>
        <w:t xml:space="preserve"> chỉ có thể</w:t>
      </w:r>
      <w:r w:rsidRPr="00440785">
        <w:rPr>
          <w:rFonts w:ascii="Times New Roman" w:hAnsi="Times New Roman"/>
          <w:sz w:val="26"/>
          <w:szCs w:val="26"/>
        </w:rPr>
        <w:t xml:space="preserve"> tiếp cận các nguồn tín dụng ưu đãi</w:t>
      </w:r>
      <w:r w:rsidR="00954459">
        <w:rPr>
          <w:rFonts w:ascii="Times New Roman" w:hAnsi="Times New Roman"/>
          <w:sz w:val="26"/>
          <w:szCs w:val="26"/>
        </w:rPr>
        <w:t xml:space="preserve"> trong cả các hoạt động sản xuất, những nguồn vốn ưu đãi này thường chỉ cho vay với số tiền nhỏ, khó đem lại hiệu quả trong việc cải thiện thu nhập của hộ gia đình. Những nguồn vốn vay với số tiền lớn hơn từ các ngân hàng thương mại hay quỹ tín dụng thì thường có lãi suất cao và yêu cầu về tài sản thế chấp, điều này là hoàn toàn bất lợi với những hộ trong diện nghèo của khu vực nông thôn.</w:t>
      </w:r>
    </w:p>
    <w:p w14:paraId="4671D277" w14:textId="1214677B" w:rsidR="0011213D" w:rsidRPr="00440785" w:rsidRDefault="0011213D" w:rsidP="0011213D">
      <w:pPr>
        <w:pStyle w:val="MDPI31text"/>
        <w:spacing w:line="480" w:lineRule="auto"/>
        <w:ind w:firstLine="0"/>
        <w:rPr>
          <w:rFonts w:ascii="Times New Roman" w:hAnsi="Times New Roman"/>
          <w:sz w:val="26"/>
          <w:szCs w:val="26"/>
        </w:rPr>
      </w:pPr>
      <w:r w:rsidRPr="00440785">
        <w:rPr>
          <w:rFonts w:ascii="Times New Roman" w:hAnsi="Times New Roman"/>
          <w:sz w:val="26"/>
          <w:szCs w:val="26"/>
        </w:rPr>
        <w:t>Dựa trên những phát hiện chính</w:t>
      </w:r>
      <w:r w:rsidR="00954459">
        <w:rPr>
          <w:rFonts w:ascii="Times New Roman" w:hAnsi="Times New Roman"/>
          <w:sz w:val="26"/>
          <w:szCs w:val="26"/>
        </w:rPr>
        <w:t xml:space="preserve"> như trên, các tổ chức</w:t>
      </w:r>
      <w:r w:rsidRPr="00440785">
        <w:rPr>
          <w:rFonts w:ascii="Times New Roman" w:hAnsi="Times New Roman"/>
          <w:sz w:val="26"/>
          <w:szCs w:val="26"/>
        </w:rPr>
        <w:t xml:space="preserve"> cung cấp tín dụng chính thức hoặc tín dụng vi mô nên thiết kế các chương trình cho vay phù hợp không chỉ với lãi suất ưu đãi mà còn phát triển các chương trình đào tạo nghề cho các hộ gia đình có thu nhập thấp nhất, những người có thể bị loại khỏi thị trường. Các chương trình đào tạo nghề nên tập trung vào kỹ năng nông nghiệp, kỹ năng kinh doanh hoặc thậm chí là cách sử dụng và quản lý tiền của họ. Nghiên cứ hay này hy vọng góp phần vào tổng quan nghiên cứu về tiếp cận tín dụng ở vùng nông thôn với tỷ lệ hộ nghèo cao tại Việt Nam.</w:t>
      </w:r>
    </w:p>
    <w:p w14:paraId="686E70F6" w14:textId="77777777" w:rsidR="0011213D" w:rsidRPr="00440785" w:rsidRDefault="0011213D" w:rsidP="0011213D">
      <w:pPr>
        <w:spacing w:line="480" w:lineRule="auto"/>
        <w:jc w:val="both"/>
        <w:rPr>
          <w:sz w:val="26"/>
          <w:szCs w:val="26"/>
        </w:rPr>
        <w:sectPr w:rsidR="0011213D" w:rsidRPr="00440785" w:rsidSect="007234DF">
          <w:footerReference w:type="even" r:id="rId7"/>
          <w:footerReference w:type="default" r:id="rId8"/>
          <w:pgSz w:w="11900" w:h="16840"/>
          <w:pgMar w:top="1247" w:right="1440" w:bottom="1247" w:left="1440" w:header="709" w:footer="709" w:gutter="0"/>
          <w:cols w:space="708"/>
          <w:docGrid w:linePitch="360"/>
        </w:sectPr>
      </w:pPr>
    </w:p>
    <w:p w14:paraId="7ADE1592" w14:textId="58BD46CA" w:rsidR="0010566F" w:rsidRPr="00440785" w:rsidRDefault="009427E2" w:rsidP="003F327A">
      <w:pPr>
        <w:pStyle w:val="MDPI31text"/>
        <w:spacing w:line="480" w:lineRule="auto"/>
        <w:ind w:firstLine="0"/>
        <w:rPr>
          <w:rFonts w:ascii="Times New Roman" w:hAnsi="Times New Roman"/>
          <w:b/>
          <w:sz w:val="26"/>
          <w:szCs w:val="26"/>
        </w:rPr>
      </w:pPr>
      <w:r w:rsidRPr="00440785">
        <w:rPr>
          <w:rFonts w:ascii="Times New Roman" w:hAnsi="Times New Roman"/>
          <w:b/>
          <w:sz w:val="26"/>
          <w:szCs w:val="26"/>
        </w:rPr>
        <w:lastRenderedPageBreak/>
        <w:t>6. Tài liệu tham khảo</w:t>
      </w:r>
    </w:p>
    <w:p w14:paraId="1620D33E" w14:textId="77777777" w:rsidR="009427E2" w:rsidRPr="00440785" w:rsidRDefault="009427E2" w:rsidP="003F327A">
      <w:pPr>
        <w:pStyle w:val="EndNoteBibliography"/>
        <w:spacing w:line="480" w:lineRule="auto"/>
        <w:ind w:left="720" w:hanging="720"/>
        <w:rPr>
          <w:rFonts w:ascii="Times New Roman" w:hAnsi="Times New Roman" w:cs="Times New Roman"/>
          <w:noProof/>
          <w:sz w:val="26"/>
          <w:szCs w:val="26"/>
        </w:rPr>
      </w:pPr>
      <w:r w:rsidRPr="00440785">
        <w:rPr>
          <w:rFonts w:ascii="Times New Roman" w:hAnsi="Times New Roman" w:cs="Times New Roman"/>
          <w:noProof/>
          <w:sz w:val="26"/>
          <w:szCs w:val="26"/>
        </w:rPr>
        <w:t xml:space="preserve">Ahmad, N. (2011). Impact of institutional credit on agricultural output. Pak. Dev. Rev, 42, 469-485. </w:t>
      </w:r>
    </w:p>
    <w:p w14:paraId="0454A8C0" w14:textId="77777777" w:rsidR="009427E2" w:rsidRPr="00440785" w:rsidRDefault="009427E2" w:rsidP="003F327A">
      <w:pPr>
        <w:pStyle w:val="EndNoteBibliography"/>
        <w:spacing w:line="480" w:lineRule="auto"/>
        <w:ind w:left="720" w:hanging="720"/>
        <w:rPr>
          <w:rFonts w:ascii="Times New Roman" w:hAnsi="Times New Roman" w:cs="Times New Roman"/>
          <w:noProof/>
          <w:sz w:val="26"/>
          <w:szCs w:val="26"/>
        </w:rPr>
      </w:pPr>
      <w:r w:rsidRPr="00440785">
        <w:rPr>
          <w:rFonts w:ascii="Times New Roman" w:hAnsi="Times New Roman" w:cs="Times New Roman"/>
          <w:noProof/>
          <w:sz w:val="26"/>
          <w:szCs w:val="26"/>
        </w:rPr>
        <w:t xml:space="preserve">Akudugu, M. (2012). Estimation of the determinants of credit demand by farmers and supply by rural banks in Ghana’s Upper East Region. </w:t>
      </w:r>
      <w:r w:rsidRPr="00440785">
        <w:rPr>
          <w:rFonts w:ascii="Times New Roman" w:hAnsi="Times New Roman" w:cs="Times New Roman"/>
          <w:i/>
          <w:noProof/>
          <w:sz w:val="26"/>
          <w:szCs w:val="26"/>
        </w:rPr>
        <w:t>Asian Journal of Agriculture and Rural Development, 2</w:t>
      </w:r>
      <w:r w:rsidRPr="00440785">
        <w:rPr>
          <w:rFonts w:ascii="Times New Roman" w:hAnsi="Times New Roman" w:cs="Times New Roman"/>
          <w:noProof/>
          <w:sz w:val="26"/>
          <w:szCs w:val="26"/>
        </w:rPr>
        <w:t xml:space="preserve">(393-2016-23992), 189-200. </w:t>
      </w:r>
    </w:p>
    <w:p w14:paraId="3EDA7C35" w14:textId="77777777" w:rsidR="009427E2" w:rsidRPr="00440785" w:rsidRDefault="009427E2" w:rsidP="003F327A">
      <w:pPr>
        <w:pStyle w:val="EndNoteBibliography"/>
        <w:spacing w:line="480" w:lineRule="auto"/>
        <w:ind w:left="720" w:hanging="720"/>
        <w:rPr>
          <w:rFonts w:ascii="Times New Roman" w:hAnsi="Times New Roman" w:cs="Times New Roman"/>
          <w:noProof/>
          <w:sz w:val="26"/>
          <w:szCs w:val="26"/>
        </w:rPr>
      </w:pPr>
      <w:r w:rsidRPr="00440785">
        <w:rPr>
          <w:rFonts w:ascii="Times New Roman" w:hAnsi="Times New Roman" w:cs="Times New Roman"/>
          <w:noProof/>
          <w:sz w:val="26"/>
          <w:szCs w:val="26"/>
        </w:rPr>
        <w:t xml:space="preserve">Amin, S., Rai, A. S., &amp; Topa, G. (2003). Does microcredit reach the poor and vulnerable? Evidence from northern Bangladesh. </w:t>
      </w:r>
      <w:r w:rsidRPr="00440785">
        <w:rPr>
          <w:rFonts w:ascii="Times New Roman" w:hAnsi="Times New Roman" w:cs="Times New Roman"/>
          <w:i/>
          <w:noProof/>
          <w:sz w:val="26"/>
          <w:szCs w:val="26"/>
        </w:rPr>
        <w:t>Journal of Development Economics, 70</w:t>
      </w:r>
      <w:r w:rsidRPr="00440785">
        <w:rPr>
          <w:rFonts w:ascii="Times New Roman" w:hAnsi="Times New Roman" w:cs="Times New Roman"/>
          <w:noProof/>
          <w:sz w:val="26"/>
          <w:szCs w:val="26"/>
        </w:rPr>
        <w:t xml:space="preserve">(1), 59-82. </w:t>
      </w:r>
    </w:p>
    <w:p w14:paraId="30A41EBD" w14:textId="77777777" w:rsidR="009427E2" w:rsidRPr="00440785" w:rsidRDefault="009427E2" w:rsidP="003F327A">
      <w:pPr>
        <w:pStyle w:val="EndNoteBibliography"/>
        <w:spacing w:line="480" w:lineRule="auto"/>
        <w:ind w:left="720" w:hanging="720"/>
        <w:rPr>
          <w:rFonts w:ascii="Times New Roman" w:hAnsi="Times New Roman" w:cs="Times New Roman"/>
          <w:noProof/>
          <w:sz w:val="26"/>
          <w:szCs w:val="26"/>
        </w:rPr>
      </w:pPr>
      <w:r w:rsidRPr="00440785">
        <w:rPr>
          <w:rFonts w:ascii="Times New Roman" w:hAnsi="Times New Roman" w:cs="Times New Roman"/>
          <w:noProof/>
          <w:sz w:val="26"/>
          <w:szCs w:val="26"/>
        </w:rPr>
        <w:t xml:space="preserve">Bao Duong, P., &amp; Izumida, Y. (2002). Rural Development Finance in Vietnam: A Microeconometric Analysis of Household Surveys. </w:t>
      </w:r>
      <w:r w:rsidRPr="00440785">
        <w:rPr>
          <w:rFonts w:ascii="Times New Roman" w:hAnsi="Times New Roman" w:cs="Times New Roman"/>
          <w:i/>
          <w:noProof/>
          <w:sz w:val="26"/>
          <w:szCs w:val="26"/>
        </w:rPr>
        <w:t>World Development, 30</w:t>
      </w:r>
      <w:r w:rsidRPr="00440785">
        <w:rPr>
          <w:rFonts w:ascii="Times New Roman" w:hAnsi="Times New Roman" w:cs="Times New Roman"/>
          <w:noProof/>
          <w:sz w:val="26"/>
          <w:szCs w:val="26"/>
        </w:rPr>
        <w:t>(2), 319-335. doi:</w:t>
      </w:r>
      <w:hyperlink r:id="rId9" w:history="1">
        <w:r w:rsidRPr="00440785">
          <w:rPr>
            <w:rFonts w:ascii="Times New Roman" w:hAnsi="Times New Roman" w:cs="Times New Roman"/>
            <w:sz w:val="26"/>
            <w:szCs w:val="26"/>
          </w:rPr>
          <w:t>https://doi.org/10.1016/S0305-750X(01)00112-7</w:t>
        </w:r>
      </w:hyperlink>
    </w:p>
    <w:p w14:paraId="233C1426" w14:textId="77777777" w:rsidR="009427E2" w:rsidRPr="00440785" w:rsidRDefault="009427E2" w:rsidP="003F327A">
      <w:pPr>
        <w:pStyle w:val="EndNoteBibliography"/>
        <w:spacing w:line="480" w:lineRule="auto"/>
        <w:ind w:left="720" w:hanging="720"/>
        <w:rPr>
          <w:rFonts w:ascii="Times New Roman" w:hAnsi="Times New Roman" w:cs="Times New Roman"/>
          <w:noProof/>
          <w:sz w:val="26"/>
          <w:szCs w:val="26"/>
        </w:rPr>
      </w:pPr>
      <w:r w:rsidRPr="00440785">
        <w:rPr>
          <w:rFonts w:ascii="Times New Roman" w:hAnsi="Times New Roman" w:cs="Times New Roman"/>
          <w:noProof/>
          <w:sz w:val="26"/>
          <w:szCs w:val="26"/>
        </w:rPr>
        <w:t xml:space="preserve">Barslund, M., &amp; Tarp, F. (2008). Formal and informal rural credit in four provinces of Vietnam. </w:t>
      </w:r>
      <w:r w:rsidRPr="00440785">
        <w:rPr>
          <w:rFonts w:ascii="Times New Roman" w:hAnsi="Times New Roman" w:cs="Times New Roman"/>
          <w:i/>
          <w:noProof/>
          <w:sz w:val="26"/>
          <w:szCs w:val="26"/>
        </w:rPr>
        <w:t>The Journal of Development Studies, 44</w:t>
      </w:r>
      <w:r w:rsidRPr="00440785">
        <w:rPr>
          <w:rFonts w:ascii="Times New Roman" w:hAnsi="Times New Roman" w:cs="Times New Roman"/>
          <w:noProof/>
          <w:sz w:val="26"/>
          <w:szCs w:val="26"/>
        </w:rPr>
        <w:t xml:space="preserve">(4), 485-503. </w:t>
      </w:r>
    </w:p>
    <w:p w14:paraId="52DDC753" w14:textId="77777777" w:rsidR="009427E2" w:rsidRPr="00440785" w:rsidRDefault="009427E2" w:rsidP="003F327A">
      <w:pPr>
        <w:pStyle w:val="EndNoteBibliography"/>
        <w:spacing w:line="480" w:lineRule="auto"/>
        <w:ind w:left="720" w:hanging="720"/>
        <w:rPr>
          <w:rFonts w:ascii="Times New Roman" w:hAnsi="Times New Roman" w:cs="Times New Roman"/>
          <w:noProof/>
          <w:sz w:val="26"/>
          <w:szCs w:val="26"/>
        </w:rPr>
      </w:pPr>
      <w:r w:rsidRPr="00440785">
        <w:rPr>
          <w:rFonts w:ascii="Times New Roman" w:hAnsi="Times New Roman" w:cs="Times New Roman"/>
          <w:noProof/>
          <w:sz w:val="26"/>
          <w:szCs w:val="26"/>
        </w:rPr>
        <w:t xml:space="preserve">Bashir, M. K., Mehmood, Y., &amp; Hassan, S. (2010). Impact of agricultural credit on productivity of wheat crop: Evidence from Lahore, Punjab, Pakistan. </w:t>
      </w:r>
      <w:r w:rsidRPr="00440785">
        <w:rPr>
          <w:rFonts w:ascii="Times New Roman" w:hAnsi="Times New Roman" w:cs="Times New Roman"/>
          <w:i/>
          <w:noProof/>
          <w:sz w:val="26"/>
          <w:szCs w:val="26"/>
        </w:rPr>
        <w:t>Pak. J. Agri. Sci, 47</w:t>
      </w:r>
      <w:r w:rsidRPr="00440785">
        <w:rPr>
          <w:rFonts w:ascii="Times New Roman" w:hAnsi="Times New Roman" w:cs="Times New Roman"/>
          <w:noProof/>
          <w:sz w:val="26"/>
          <w:szCs w:val="26"/>
        </w:rPr>
        <w:t xml:space="preserve">(4), 405-409. </w:t>
      </w:r>
    </w:p>
    <w:p w14:paraId="31A36B51" w14:textId="77777777" w:rsidR="009427E2" w:rsidRPr="00440785" w:rsidRDefault="009427E2" w:rsidP="003F327A">
      <w:pPr>
        <w:pStyle w:val="EndNoteBibliography"/>
        <w:spacing w:line="480" w:lineRule="auto"/>
        <w:ind w:left="720" w:hanging="720"/>
        <w:rPr>
          <w:rFonts w:ascii="Times New Roman" w:hAnsi="Times New Roman" w:cs="Times New Roman"/>
          <w:noProof/>
          <w:sz w:val="26"/>
          <w:szCs w:val="26"/>
        </w:rPr>
      </w:pPr>
      <w:r w:rsidRPr="00440785">
        <w:rPr>
          <w:rFonts w:ascii="Times New Roman" w:hAnsi="Times New Roman" w:cs="Times New Roman"/>
          <w:noProof/>
          <w:sz w:val="26"/>
          <w:szCs w:val="26"/>
        </w:rPr>
        <w:t xml:space="preserve">Binam, J. N., Tonyè, J., wandji, N., Nyambi, G., &amp; Akoa, M. (2004). Factors affecting the technical efficiency among smallholder farmers in the slash and burn agriculture zone of Cameroon. </w:t>
      </w:r>
      <w:r w:rsidRPr="00440785">
        <w:rPr>
          <w:rFonts w:ascii="Times New Roman" w:hAnsi="Times New Roman" w:cs="Times New Roman"/>
          <w:i/>
          <w:noProof/>
          <w:sz w:val="26"/>
          <w:szCs w:val="26"/>
        </w:rPr>
        <w:t>Food Policy, 29</w:t>
      </w:r>
      <w:r w:rsidRPr="00440785">
        <w:rPr>
          <w:rFonts w:ascii="Times New Roman" w:hAnsi="Times New Roman" w:cs="Times New Roman"/>
          <w:noProof/>
          <w:sz w:val="26"/>
          <w:szCs w:val="26"/>
        </w:rPr>
        <w:t>(5), 531-545. doi:</w:t>
      </w:r>
      <w:hyperlink r:id="rId10" w:history="1">
        <w:r w:rsidRPr="00440785">
          <w:rPr>
            <w:rFonts w:ascii="Times New Roman" w:hAnsi="Times New Roman" w:cs="Times New Roman"/>
            <w:sz w:val="26"/>
            <w:szCs w:val="26"/>
          </w:rPr>
          <w:t>https://doi.org/10.1016/j.foodpol.2004.07.013</w:t>
        </w:r>
      </w:hyperlink>
    </w:p>
    <w:p w14:paraId="6558D585" w14:textId="77777777" w:rsidR="009427E2" w:rsidRPr="00440785" w:rsidRDefault="009427E2" w:rsidP="003F327A">
      <w:pPr>
        <w:pStyle w:val="EndNoteBibliography"/>
        <w:spacing w:line="480" w:lineRule="auto"/>
        <w:ind w:left="720" w:hanging="720"/>
        <w:rPr>
          <w:rFonts w:ascii="Times New Roman" w:hAnsi="Times New Roman" w:cs="Times New Roman"/>
          <w:noProof/>
          <w:sz w:val="26"/>
          <w:szCs w:val="26"/>
        </w:rPr>
      </w:pPr>
      <w:r w:rsidRPr="00440785">
        <w:rPr>
          <w:rFonts w:ascii="Times New Roman" w:hAnsi="Times New Roman" w:cs="Times New Roman"/>
          <w:noProof/>
          <w:sz w:val="26"/>
          <w:szCs w:val="26"/>
        </w:rPr>
        <w:t xml:space="preserve">Bravo-Ureta, B. E., Solís, D., López, V. H. M., Maripani, J. F., Thiam, A., &amp; Rivas, T. (2007). Technical efficiency in farming: a meta-regression analysis. </w:t>
      </w:r>
      <w:r w:rsidRPr="00440785">
        <w:rPr>
          <w:rFonts w:ascii="Times New Roman" w:hAnsi="Times New Roman" w:cs="Times New Roman"/>
          <w:i/>
          <w:noProof/>
          <w:sz w:val="26"/>
          <w:szCs w:val="26"/>
        </w:rPr>
        <w:t>Journal of productivity Analysis, 27</w:t>
      </w:r>
      <w:r w:rsidRPr="00440785">
        <w:rPr>
          <w:rFonts w:ascii="Times New Roman" w:hAnsi="Times New Roman" w:cs="Times New Roman"/>
          <w:noProof/>
          <w:sz w:val="26"/>
          <w:szCs w:val="26"/>
        </w:rPr>
        <w:t xml:space="preserve">(1), 57-72. </w:t>
      </w:r>
    </w:p>
    <w:p w14:paraId="1C043A04" w14:textId="1262EB1A" w:rsidR="009427E2" w:rsidRPr="00440785" w:rsidRDefault="009427E2" w:rsidP="003F327A">
      <w:pPr>
        <w:pStyle w:val="EndNoteBibliography"/>
        <w:spacing w:line="480" w:lineRule="auto"/>
        <w:ind w:left="720" w:hanging="720"/>
        <w:rPr>
          <w:rFonts w:ascii="Times New Roman" w:hAnsi="Times New Roman" w:cs="Times New Roman"/>
          <w:noProof/>
          <w:sz w:val="26"/>
          <w:szCs w:val="26"/>
        </w:rPr>
      </w:pPr>
      <w:r w:rsidRPr="00440785">
        <w:rPr>
          <w:rFonts w:ascii="Times New Roman" w:hAnsi="Times New Roman" w:cs="Times New Roman"/>
          <w:i/>
          <w:noProof/>
          <w:sz w:val="26"/>
          <w:szCs w:val="26"/>
        </w:rPr>
        <w:lastRenderedPageBreak/>
        <w:t>Economics, 60</w:t>
      </w:r>
      <w:r w:rsidRPr="00440785">
        <w:rPr>
          <w:rFonts w:ascii="Times New Roman" w:hAnsi="Times New Roman" w:cs="Times New Roman"/>
          <w:noProof/>
          <w:sz w:val="26"/>
          <w:szCs w:val="26"/>
        </w:rPr>
        <w:t>(1), 105-141. doi:</w:t>
      </w:r>
      <w:hyperlink r:id="rId11" w:history="1">
        <w:r w:rsidRPr="00440785">
          <w:rPr>
            <w:rFonts w:ascii="Times New Roman" w:hAnsi="Times New Roman" w:cs="Times New Roman"/>
            <w:sz w:val="26"/>
            <w:szCs w:val="26"/>
          </w:rPr>
          <w:t>https://doi.org/10.1016/S0304-3878(99)00038-3</w:t>
        </w:r>
      </w:hyperlink>
    </w:p>
    <w:p w14:paraId="6932781A" w14:textId="77777777" w:rsidR="009427E2" w:rsidRPr="00440785" w:rsidRDefault="009427E2" w:rsidP="003F327A">
      <w:pPr>
        <w:pStyle w:val="EndNoteBibliography"/>
        <w:spacing w:line="480" w:lineRule="auto"/>
        <w:ind w:left="720" w:hanging="720"/>
        <w:rPr>
          <w:rFonts w:ascii="Times New Roman" w:hAnsi="Times New Roman" w:cs="Times New Roman"/>
          <w:noProof/>
          <w:sz w:val="26"/>
          <w:szCs w:val="26"/>
        </w:rPr>
      </w:pPr>
      <w:r w:rsidRPr="00440785">
        <w:rPr>
          <w:rFonts w:ascii="Times New Roman" w:hAnsi="Times New Roman" w:cs="Times New Roman"/>
          <w:noProof/>
          <w:sz w:val="26"/>
          <w:szCs w:val="26"/>
        </w:rPr>
        <w:t>Copestake, J., Dawson, P., Fanning, J. P., McKay, A., &amp; Wright</w:t>
      </w:r>
      <w:r w:rsidRPr="00440785">
        <w:rPr>
          <w:rFonts w:ascii="Calibri" w:eastAsia="Calibri" w:hAnsi="Calibri" w:cs="Calibri"/>
          <w:noProof/>
          <w:sz w:val="26"/>
          <w:szCs w:val="26"/>
        </w:rPr>
        <w:t>‐</w:t>
      </w:r>
      <w:r w:rsidRPr="00440785">
        <w:rPr>
          <w:rFonts w:ascii="Times New Roman" w:hAnsi="Times New Roman" w:cs="Times New Roman"/>
          <w:noProof/>
          <w:sz w:val="26"/>
          <w:szCs w:val="26"/>
        </w:rPr>
        <w:t xml:space="preserve">Revolledo, K. (2005). Monitoring the diversity of the poverty outreach and impact of microfinance: A comparison of methods using data from Peru. </w:t>
      </w:r>
      <w:r w:rsidRPr="00440785">
        <w:rPr>
          <w:rFonts w:ascii="Times New Roman" w:hAnsi="Times New Roman" w:cs="Times New Roman"/>
          <w:i/>
          <w:noProof/>
          <w:sz w:val="26"/>
          <w:szCs w:val="26"/>
        </w:rPr>
        <w:t>Development Policy Review, 23</w:t>
      </w:r>
      <w:r w:rsidRPr="00440785">
        <w:rPr>
          <w:rFonts w:ascii="Times New Roman" w:hAnsi="Times New Roman" w:cs="Times New Roman"/>
          <w:noProof/>
          <w:sz w:val="26"/>
          <w:szCs w:val="26"/>
        </w:rPr>
        <w:t xml:space="preserve">(6), 703-723. </w:t>
      </w:r>
    </w:p>
    <w:p w14:paraId="1BB5D57D" w14:textId="7CF7414A" w:rsidR="008F2641" w:rsidRPr="00440785" w:rsidRDefault="008F2641" w:rsidP="003F327A">
      <w:pPr>
        <w:pStyle w:val="EndNoteBibliography"/>
        <w:spacing w:line="480" w:lineRule="auto"/>
        <w:ind w:left="720" w:hanging="720"/>
        <w:rPr>
          <w:rFonts w:ascii="Times New Roman" w:hAnsi="Times New Roman" w:cs="Times New Roman"/>
          <w:noProof/>
          <w:sz w:val="26"/>
          <w:szCs w:val="26"/>
        </w:rPr>
      </w:pPr>
      <w:r w:rsidRPr="00440785">
        <w:rPr>
          <w:rFonts w:ascii="Times New Roman" w:hAnsi="Times New Roman" w:cs="Times New Roman"/>
          <w:noProof/>
          <w:sz w:val="26"/>
          <w:szCs w:val="26"/>
        </w:rPr>
        <w:t>Chính phủ. (2015). Quyết định về việc ban hành chuẩn nghèo tiếp cận đa chiều áp dụng cho giai đoạn 2016-2020 (Quyết định số 59/2015/QĐ-TTg).</w:t>
      </w:r>
    </w:p>
    <w:p w14:paraId="503676AE" w14:textId="77777777" w:rsidR="009427E2" w:rsidRPr="00440785" w:rsidRDefault="009427E2" w:rsidP="003F327A">
      <w:pPr>
        <w:pStyle w:val="EndNoteBibliography"/>
        <w:spacing w:line="480" w:lineRule="auto"/>
        <w:ind w:left="720" w:hanging="720"/>
        <w:rPr>
          <w:rFonts w:ascii="Times New Roman" w:hAnsi="Times New Roman" w:cs="Times New Roman"/>
          <w:noProof/>
          <w:sz w:val="26"/>
          <w:szCs w:val="26"/>
        </w:rPr>
      </w:pPr>
      <w:r w:rsidRPr="00440785">
        <w:rPr>
          <w:rFonts w:ascii="Times New Roman" w:hAnsi="Times New Roman" w:cs="Times New Roman"/>
          <w:noProof/>
          <w:sz w:val="26"/>
          <w:szCs w:val="26"/>
        </w:rPr>
        <w:t xml:space="preserve">Das, T. (2018). Does credit access lead to expansion of income and multidimensional poverty? A study of rural Assam. </w:t>
      </w:r>
      <w:r w:rsidRPr="00440785">
        <w:rPr>
          <w:rFonts w:ascii="Times New Roman" w:hAnsi="Times New Roman" w:cs="Times New Roman"/>
          <w:i/>
          <w:noProof/>
          <w:sz w:val="26"/>
          <w:szCs w:val="26"/>
        </w:rPr>
        <w:t>International Journal of Social Economics</w:t>
      </w:r>
      <w:r w:rsidRPr="00440785">
        <w:rPr>
          <w:rFonts w:ascii="Times New Roman" w:hAnsi="Times New Roman" w:cs="Times New Roman"/>
          <w:noProof/>
          <w:sz w:val="26"/>
          <w:szCs w:val="26"/>
        </w:rPr>
        <w:t xml:space="preserve">. </w:t>
      </w:r>
    </w:p>
    <w:p w14:paraId="5473C701" w14:textId="77777777" w:rsidR="009427E2" w:rsidRPr="00440785" w:rsidRDefault="009427E2" w:rsidP="003F327A">
      <w:pPr>
        <w:pStyle w:val="EndNoteBibliography"/>
        <w:spacing w:line="480" w:lineRule="auto"/>
        <w:ind w:left="720" w:hanging="720"/>
        <w:rPr>
          <w:rFonts w:ascii="Times New Roman" w:hAnsi="Times New Roman" w:cs="Times New Roman"/>
          <w:noProof/>
          <w:sz w:val="26"/>
          <w:szCs w:val="26"/>
        </w:rPr>
      </w:pPr>
      <w:r w:rsidRPr="00440785">
        <w:rPr>
          <w:rFonts w:ascii="Times New Roman" w:hAnsi="Times New Roman" w:cs="Times New Roman"/>
          <w:noProof/>
          <w:sz w:val="26"/>
          <w:szCs w:val="26"/>
        </w:rPr>
        <w:t xml:space="preserve">Dong, F., Lu, J., &amp; Featherstone, A. M. (2010). </w:t>
      </w:r>
      <w:r w:rsidRPr="00440785">
        <w:rPr>
          <w:rFonts w:ascii="Times New Roman" w:hAnsi="Times New Roman" w:cs="Times New Roman"/>
          <w:i/>
          <w:noProof/>
          <w:sz w:val="26"/>
          <w:szCs w:val="26"/>
        </w:rPr>
        <w:t>Effects of credit constraints on productivity and rural household income in China</w:t>
      </w:r>
      <w:r w:rsidRPr="00440785">
        <w:rPr>
          <w:rFonts w:ascii="Times New Roman" w:hAnsi="Times New Roman" w:cs="Times New Roman"/>
          <w:noProof/>
          <w:sz w:val="26"/>
          <w:szCs w:val="26"/>
        </w:rPr>
        <w:t xml:space="preserve">. Retrieved from </w:t>
      </w:r>
    </w:p>
    <w:p w14:paraId="78A64A60" w14:textId="77777777" w:rsidR="009427E2" w:rsidRPr="00440785" w:rsidRDefault="009427E2" w:rsidP="003F327A">
      <w:pPr>
        <w:pStyle w:val="EndNoteBibliography"/>
        <w:spacing w:line="480" w:lineRule="auto"/>
        <w:ind w:left="720" w:hanging="720"/>
        <w:rPr>
          <w:rFonts w:ascii="Times New Roman" w:hAnsi="Times New Roman" w:cs="Times New Roman"/>
          <w:noProof/>
          <w:sz w:val="26"/>
          <w:szCs w:val="26"/>
        </w:rPr>
      </w:pPr>
      <w:r w:rsidRPr="00440785">
        <w:rPr>
          <w:rFonts w:ascii="Times New Roman" w:hAnsi="Times New Roman" w:cs="Times New Roman"/>
          <w:noProof/>
          <w:sz w:val="26"/>
          <w:szCs w:val="26"/>
        </w:rPr>
        <w:t xml:space="preserve">Duy, V. Q. (2012). The role of access to credit in rice production efficiency of rural households in the Mekong Delta, Vietnam. </w:t>
      </w:r>
      <w:r w:rsidRPr="00440785">
        <w:rPr>
          <w:rFonts w:ascii="Times New Roman" w:hAnsi="Times New Roman" w:cs="Times New Roman"/>
          <w:i/>
          <w:noProof/>
          <w:sz w:val="26"/>
          <w:szCs w:val="26"/>
        </w:rPr>
        <w:t>Center for Asian Studies Discussion Paper, 284</w:t>
      </w:r>
      <w:r w:rsidRPr="00440785">
        <w:rPr>
          <w:rFonts w:ascii="Times New Roman" w:hAnsi="Times New Roman" w:cs="Times New Roman"/>
          <w:noProof/>
          <w:sz w:val="26"/>
          <w:szCs w:val="26"/>
        </w:rPr>
        <w:t xml:space="preserve">. </w:t>
      </w:r>
    </w:p>
    <w:p w14:paraId="1E803CFD" w14:textId="77777777" w:rsidR="009427E2" w:rsidRPr="00440785" w:rsidRDefault="009427E2" w:rsidP="003F327A">
      <w:pPr>
        <w:pStyle w:val="EndNoteBibliography"/>
        <w:spacing w:line="480" w:lineRule="auto"/>
        <w:ind w:left="720" w:hanging="720"/>
        <w:rPr>
          <w:rFonts w:ascii="Times New Roman" w:hAnsi="Times New Roman" w:cs="Times New Roman"/>
          <w:noProof/>
          <w:sz w:val="26"/>
          <w:szCs w:val="26"/>
        </w:rPr>
      </w:pPr>
      <w:r w:rsidRPr="00440785">
        <w:rPr>
          <w:rFonts w:ascii="Times New Roman" w:hAnsi="Times New Roman" w:cs="Times New Roman"/>
          <w:noProof/>
          <w:sz w:val="26"/>
          <w:szCs w:val="26"/>
        </w:rPr>
        <w:t xml:space="preserve">Duy, V. Q., D’Haese, M., Lemba, J., &amp; D’Haese, L. (2012). Determinants of household access to formal credit in the rural areas of the Mekong Delta, Vietnam. </w:t>
      </w:r>
      <w:r w:rsidRPr="00440785">
        <w:rPr>
          <w:rFonts w:ascii="Times New Roman" w:hAnsi="Times New Roman" w:cs="Times New Roman"/>
          <w:i/>
          <w:noProof/>
          <w:sz w:val="26"/>
          <w:szCs w:val="26"/>
        </w:rPr>
        <w:t>African and Asian studies, 11</w:t>
      </w:r>
      <w:r w:rsidRPr="00440785">
        <w:rPr>
          <w:rFonts w:ascii="Times New Roman" w:hAnsi="Times New Roman" w:cs="Times New Roman"/>
          <w:noProof/>
          <w:sz w:val="26"/>
          <w:szCs w:val="26"/>
        </w:rPr>
        <w:t xml:space="preserve">(3), 261-287. </w:t>
      </w:r>
    </w:p>
    <w:p w14:paraId="38B06FFB" w14:textId="77777777" w:rsidR="009427E2" w:rsidRPr="00440785" w:rsidRDefault="009427E2" w:rsidP="003F327A">
      <w:pPr>
        <w:pStyle w:val="EndNoteBibliography"/>
        <w:spacing w:line="480" w:lineRule="auto"/>
        <w:ind w:left="720" w:hanging="720"/>
        <w:rPr>
          <w:rFonts w:ascii="Times New Roman" w:hAnsi="Times New Roman" w:cs="Times New Roman"/>
          <w:noProof/>
          <w:sz w:val="26"/>
          <w:szCs w:val="26"/>
        </w:rPr>
      </w:pPr>
      <w:r w:rsidRPr="00440785">
        <w:rPr>
          <w:rFonts w:ascii="Times New Roman" w:hAnsi="Times New Roman" w:cs="Times New Roman"/>
          <w:noProof/>
          <w:sz w:val="26"/>
          <w:szCs w:val="26"/>
        </w:rPr>
        <w:t xml:space="preserve">Ekwere, G., &amp; Edem, I. (2014). Evaluation of agricultural credit facility in agricultural production and rural development. </w:t>
      </w:r>
      <w:r w:rsidRPr="00440785">
        <w:rPr>
          <w:rFonts w:ascii="Times New Roman" w:hAnsi="Times New Roman" w:cs="Times New Roman"/>
          <w:i/>
          <w:noProof/>
          <w:sz w:val="26"/>
          <w:szCs w:val="26"/>
        </w:rPr>
        <w:t>Global Journal of Human-Social Science Research</w:t>
      </w:r>
      <w:r w:rsidRPr="00440785">
        <w:rPr>
          <w:rFonts w:ascii="Times New Roman" w:hAnsi="Times New Roman" w:cs="Times New Roman"/>
          <w:noProof/>
          <w:sz w:val="26"/>
          <w:szCs w:val="26"/>
        </w:rPr>
        <w:t xml:space="preserve">. </w:t>
      </w:r>
    </w:p>
    <w:p w14:paraId="0E36C8FC" w14:textId="77777777" w:rsidR="009427E2" w:rsidRPr="00440785" w:rsidRDefault="009427E2" w:rsidP="003F327A">
      <w:pPr>
        <w:pStyle w:val="EndNoteBibliography"/>
        <w:spacing w:line="480" w:lineRule="auto"/>
        <w:ind w:left="720" w:hanging="720"/>
        <w:rPr>
          <w:rFonts w:ascii="Times New Roman" w:hAnsi="Times New Roman" w:cs="Times New Roman"/>
          <w:noProof/>
          <w:sz w:val="26"/>
          <w:szCs w:val="26"/>
        </w:rPr>
      </w:pPr>
      <w:r w:rsidRPr="00440785">
        <w:rPr>
          <w:rFonts w:ascii="Times New Roman" w:hAnsi="Times New Roman" w:cs="Times New Roman"/>
          <w:noProof/>
          <w:sz w:val="26"/>
          <w:szCs w:val="26"/>
        </w:rPr>
        <w:t xml:space="preserve">Fletschner, D. (2009). Rural Women’s Access to Credit: Market Imperfections and Intrahousehold Dynamics. </w:t>
      </w:r>
      <w:r w:rsidRPr="00440785">
        <w:rPr>
          <w:rFonts w:ascii="Times New Roman" w:hAnsi="Times New Roman" w:cs="Times New Roman"/>
          <w:i/>
          <w:noProof/>
          <w:sz w:val="26"/>
          <w:szCs w:val="26"/>
        </w:rPr>
        <w:t>World Development, 37</w:t>
      </w:r>
      <w:r w:rsidRPr="00440785">
        <w:rPr>
          <w:rFonts w:ascii="Times New Roman" w:hAnsi="Times New Roman" w:cs="Times New Roman"/>
          <w:noProof/>
          <w:sz w:val="26"/>
          <w:szCs w:val="26"/>
        </w:rPr>
        <w:t>(3), 618-631. doi:</w:t>
      </w:r>
      <w:hyperlink r:id="rId12" w:history="1">
        <w:r w:rsidRPr="00440785">
          <w:rPr>
            <w:rFonts w:ascii="Times New Roman" w:hAnsi="Times New Roman" w:cs="Times New Roman"/>
            <w:sz w:val="26"/>
            <w:szCs w:val="26"/>
          </w:rPr>
          <w:t>https://doi.org/10.1016/j.worlddev.2008.08.005</w:t>
        </w:r>
      </w:hyperlink>
    </w:p>
    <w:p w14:paraId="66C93460" w14:textId="77777777" w:rsidR="009427E2" w:rsidRPr="00440785" w:rsidRDefault="009427E2" w:rsidP="003F327A">
      <w:pPr>
        <w:pStyle w:val="EndNoteBibliography"/>
        <w:spacing w:line="480" w:lineRule="auto"/>
        <w:ind w:left="720" w:hanging="720"/>
        <w:rPr>
          <w:rFonts w:ascii="Times New Roman" w:hAnsi="Times New Roman" w:cs="Times New Roman"/>
          <w:noProof/>
          <w:sz w:val="26"/>
          <w:szCs w:val="26"/>
        </w:rPr>
      </w:pPr>
      <w:r w:rsidRPr="00440785">
        <w:rPr>
          <w:rFonts w:ascii="Times New Roman" w:hAnsi="Times New Roman" w:cs="Times New Roman"/>
          <w:noProof/>
          <w:sz w:val="26"/>
          <w:szCs w:val="26"/>
        </w:rPr>
        <w:lastRenderedPageBreak/>
        <w:t xml:space="preserve">Gray, A. (2006). </w:t>
      </w:r>
      <w:r w:rsidRPr="00440785">
        <w:rPr>
          <w:rFonts w:ascii="Times New Roman" w:hAnsi="Times New Roman" w:cs="Times New Roman"/>
          <w:i/>
          <w:noProof/>
          <w:sz w:val="26"/>
          <w:szCs w:val="26"/>
        </w:rPr>
        <w:t>Credit accessibility of small-scale farmers and fisherfolk in the Philippines.</w:t>
      </w:r>
      <w:r w:rsidRPr="00440785">
        <w:rPr>
          <w:rFonts w:ascii="Times New Roman" w:hAnsi="Times New Roman" w:cs="Times New Roman"/>
          <w:noProof/>
          <w:sz w:val="26"/>
          <w:szCs w:val="26"/>
        </w:rPr>
        <w:t xml:space="preserve"> Lincoln University, </w:t>
      </w:r>
    </w:p>
    <w:p w14:paraId="0D83396D" w14:textId="36055B6D" w:rsidR="009427E2" w:rsidRPr="00440785" w:rsidRDefault="009427E2" w:rsidP="003F327A">
      <w:pPr>
        <w:pStyle w:val="EndNoteBibliography"/>
        <w:spacing w:line="480" w:lineRule="auto"/>
        <w:ind w:left="720" w:hanging="720"/>
        <w:rPr>
          <w:rFonts w:ascii="Times New Roman" w:hAnsi="Times New Roman" w:cs="Times New Roman"/>
          <w:noProof/>
          <w:sz w:val="26"/>
          <w:szCs w:val="26"/>
        </w:rPr>
      </w:pPr>
      <w:r w:rsidRPr="00440785">
        <w:rPr>
          <w:rFonts w:ascii="Times New Roman" w:hAnsi="Times New Roman" w:cs="Times New Roman"/>
          <w:noProof/>
          <w:sz w:val="26"/>
          <w:szCs w:val="26"/>
        </w:rPr>
        <w:t xml:space="preserve">GSO. (2022). Vietnam Statistic Yearbook. </w:t>
      </w:r>
    </w:p>
    <w:p w14:paraId="7E3ED081" w14:textId="77777777" w:rsidR="009427E2" w:rsidRPr="00440785" w:rsidRDefault="009427E2" w:rsidP="003F327A">
      <w:pPr>
        <w:pStyle w:val="EndNoteBibliography"/>
        <w:spacing w:line="480" w:lineRule="auto"/>
        <w:ind w:left="720" w:hanging="720"/>
        <w:rPr>
          <w:rFonts w:ascii="Times New Roman" w:hAnsi="Times New Roman" w:cs="Times New Roman"/>
          <w:noProof/>
          <w:sz w:val="26"/>
          <w:szCs w:val="26"/>
        </w:rPr>
      </w:pPr>
      <w:r w:rsidRPr="00440785">
        <w:rPr>
          <w:rFonts w:ascii="Times New Roman" w:hAnsi="Times New Roman" w:cs="Times New Roman"/>
          <w:noProof/>
          <w:sz w:val="26"/>
          <w:szCs w:val="26"/>
        </w:rPr>
        <w:t xml:space="preserve">Guirkinger, C., &amp; Boucher, S. R. (2008). Credit constraints and productivity in Peruvian agriculture. </w:t>
      </w:r>
      <w:r w:rsidRPr="00440785">
        <w:rPr>
          <w:rFonts w:ascii="Times New Roman" w:hAnsi="Times New Roman" w:cs="Times New Roman"/>
          <w:i/>
          <w:noProof/>
          <w:sz w:val="26"/>
          <w:szCs w:val="26"/>
        </w:rPr>
        <w:t>Agricultural Economics, 39</w:t>
      </w:r>
      <w:r w:rsidRPr="00440785">
        <w:rPr>
          <w:rFonts w:ascii="Times New Roman" w:hAnsi="Times New Roman" w:cs="Times New Roman"/>
          <w:noProof/>
          <w:sz w:val="26"/>
          <w:szCs w:val="26"/>
        </w:rPr>
        <w:t xml:space="preserve">(3), 295-308. </w:t>
      </w:r>
    </w:p>
    <w:p w14:paraId="4AD1D0C2" w14:textId="77777777" w:rsidR="009427E2" w:rsidRPr="00440785" w:rsidRDefault="009427E2" w:rsidP="003F327A">
      <w:pPr>
        <w:pStyle w:val="EndNoteBibliography"/>
        <w:spacing w:line="480" w:lineRule="auto"/>
        <w:ind w:left="720" w:hanging="720"/>
        <w:rPr>
          <w:rFonts w:ascii="Times New Roman" w:hAnsi="Times New Roman" w:cs="Times New Roman"/>
          <w:noProof/>
          <w:sz w:val="26"/>
          <w:szCs w:val="26"/>
        </w:rPr>
      </w:pPr>
      <w:r w:rsidRPr="00440785">
        <w:rPr>
          <w:rFonts w:ascii="Times New Roman" w:hAnsi="Times New Roman" w:cs="Times New Roman"/>
          <w:noProof/>
          <w:sz w:val="26"/>
          <w:szCs w:val="26"/>
        </w:rPr>
        <w:t xml:space="preserve">Hananu, B., Abdul-Hanan, A., &amp; Zakaria, H. (2015). Factors influencing agricultural credit demand in Northern Ghana. </w:t>
      </w:r>
      <w:r w:rsidRPr="00440785">
        <w:rPr>
          <w:rFonts w:ascii="Times New Roman" w:hAnsi="Times New Roman" w:cs="Times New Roman"/>
          <w:i/>
          <w:noProof/>
          <w:sz w:val="26"/>
          <w:szCs w:val="26"/>
        </w:rPr>
        <w:t>African Journal of Agricultural Research, 10</w:t>
      </w:r>
      <w:r w:rsidRPr="00440785">
        <w:rPr>
          <w:rFonts w:ascii="Times New Roman" w:hAnsi="Times New Roman" w:cs="Times New Roman"/>
          <w:noProof/>
          <w:sz w:val="26"/>
          <w:szCs w:val="26"/>
        </w:rPr>
        <w:t xml:space="preserve">(7), 645-652. </w:t>
      </w:r>
    </w:p>
    <w:p w14:paraId="6E4291E4" w14:textId="77777777" w:rsidR="009427E2" w:rsidRPr="00440785" w:rsidRDefault="009427E2" w:rsidP="003F327A">
      <w:pPr>
        <w:pStyle w:val="EndNoteBibliography"/>
        <w:spacing w:line="480" w:lineRule="auto"/>
        <w:ind w:left="720" w:hanging="720"/>
        <w:rPr>
          <w:rFonts w:ascii="Times New Roman" w:hAnsi="Times New Roman" w:cs="Times New Roman"/>
          <w:noProof/>
          <w:sz w:val="26"/>
          <w:szCs w:val="26"/>
        </w:rPr>
      </w:pPr>
      <w:r w:rsidRPr="00440785">
        <w:rPr>
          <w:rFonts w:ascii="Times New Roman" w:hAnsi="Times New Roman" w:cs="Times New Roman"/>
          <w:noProof/>
          <w:sz w:val="26"/>
          <w:szCs w:val="26"/>
        </w:rPr>
        <w:t xml:space="preserve">Hermes, N., &amp; Lensink, R. (2011). Microfinance: its impact, outreach, and sustainability. </w:t>
      </w:r>
      <w:r w:rsidRPr="00440785">
        <w:rPr>
          <w:rFonts w:ascii="Times New Roman" w:hAnsi="Times New Roman" w:cs="Times New Roman"/>
          <w:i/>
          <w:noProof/>
          <w:sz w:val="26"/>
          <w:szCs w:val="26"/>
        </w:rPr>
        <w:t>World Development, 39</w:t>
      </w:r>
      <w:r w:rsidRPr="00440785">
        <w:rPr>
          <w:rFonts w:ascii="Times New Roman" w:hAnsi="Times New Roman" w:cs="Times New Roman"/>
          <w:noProof/>
          <w:sz w:val="26"/>
          <w:szCs w:val="26"/>
        </w:rPr>
        <w:t xml:space="preserve">(6), 875-881. </w:t>
      </w:r>
    </w:p>
    <w:p w14:paraId="0AE3DBDB" w14:textId="77777777" w:rsidR="009427E2" w:rsidRPr="00440785" w:rsidRDefault="009427E2" w:rsidP="003F327A">
      <w:pPr>
        <w:pStyle w:val="EndNoteBibliography"/>
        <w:spacing w:line="480" w:lineRule="auto"/>
        <w:ind w:left="720" w:hanging="720"/>
        <w:rPr>
          <w:rFonts w:ascii="Times New Roman" w:hAnsi="Times New Roman" w:cs="Times New Roman"/>
          <w:noProof/>
          <w:sz w:val="26"/>
          <w:szCs w:val="26"/>
        </w:rPr>
      </w:pPr>
      <w:r w:rsidRPr="00440785">
        <w:rPr>
          <w:rFonts w:ascii="Times New Roman" w:hAnsi="Times New Roman" w:cs="Times New Roman"/>
          <w:noProof/>
          <w:sz w:val="26"/>
          <w:szCs w:val="26"/>
        </w:rPr>
        <w:t xml:space="preserve">Ho, G. (2004). Rural credit markets in Vietnam: Theory and practice. </w:t>
      </w:r>
      <w:r w:rsidRPr="00440785">
        <w:rPr>
          <w:rFonts w:ascii="Times New Roman" w:hAnsi="Times New Roman" w:cs="Times New Roman"/>
          <w:i/>
          <w:noProof/>
          <w:sz w:val="26"/>
          <w:szCs w:val="26"/>
        </w:rPr>
        <w:t>Grand prize thesis, Macalester College</w:t>
      </w:r>
      <w:r w:rsidRPr="00440785">
        <w:rPr>
          <w:rFonts w:ascii="Times New Roman" w:hAnsi="Times New Roman" w:cs="Times New Roman"/>
          <w:noProof/>
          <w:sz w:val="26"/>
          <w:szCs w:val="26"/>
        </w:rPr>
        <w:t xml:space="preserve">. </w:t>
      </w:r>
    </w:p>
    <w:p w14:paraId="673BEB51" w14:textId="77777777" w:rsidR="009427E2" w:rsidRPr="00440785" w:rsidRDefault="009427E2" w:rsidP="003F327A">
      <w:pPr>
        <w:pStyle w:val="EndNoteBibliography"/>
        <w:spacing w:line="480" w:lineRule="auto"/>
        <w:ind w:left="720" w:hanging="720"/>
        <w:rPr>
          <w:rFonts w:ascii="Times New Roman" w:hAnsi="Times New Roman" w:cs="Times New Roman"/>
          <w:noProof/>
          <w:sz w:val="26"/>
          <w:szCs w:val="26"/>
        </w:rPr>
      </w:pPr>
      <w:r w:rsidRPr="00440785">
        <w:rPr>
          <w:rFonts w:ascii="Times New Roman" w:hAnsi="Times New Roman" w:cs="Times New Roman"/>
          <w:noProof/>
          <w:sz w:val="26"/>
          <w:szCs w:val="26"/>
        </w:rPr>
        <w:t xml:space="preserve">Hossain, A., Mohammad, A. M., &amp; Yu, Z. (2021). Impact of Rural Credit on Household Welfare: Evidence from a Long-Term Panel in Bangladesh. </w:t>
      </w:r>
    </w:p>
    <w:p w14:paraId="00BF81E2" w14:textId="77777777" w:rsidR="009427E2" w:rsidRPr="00440785" w:rsidRDefault="009427E2" w:rsidP="003F327A">
      <w:pPr>
        <w:pStyle w:val="EndNoteBibliography"/>
        <w:spacing w:line="480" w:lineRule="auto"/>
        <w:ind w:left="720" w:hanging="720"/>
        <w:rPr>
          <w:rFonts w:ascii="Times New Roman" w:hAnsi="Times New Roman" w:cs="Times New Roman"/>
          <w:noProof/>
          <w:sz w:val="26"/>
          <w:szCs w:val="26"/>
        </w:rPr>
      </w:pPr>
      <w:r w:rsidRPr="00440785">
        <w:rPr>
          <w:rFonts w:ascii="Times New Roman" w:hAnsi="Times New Roman" w:cs="Times New Roman"/>
          <w:noProof/>
          <w:sz w:val="26"/>
          <w:szCs w:val="26"/>
        </w:rPr>
        <w:t xml:space="preserve">Khandker, S. R. (2005). Microfinance and poverty: Evidence using panel data from Bangladesh. </w:t>
      </w:r>
      <w:r w:rsidRPr="00440785">
        <w:rPr>
          <w:rFonts w:ascii="Times New Roman" w:hAnsi="Times New Roman" w:cs="Times New Roman"/>
          <w:i/>
          <w:noProof/>
          <w:sz w:val="26"/>
          <w:szCs w:val="26"/>
        </w:rPr>
        <w:t>The World Bank Economic Review, 19</w:t>
      </w:r>
      <w:r w:rsidRPr="00440785">
        <w:rPr>
          <w:rFonts w:ascii="Times New Roman" w:hAnsi="Times New Roman" w:cs="Times New Roman"/>
          <w:noProof/>
          <w:sz w:val="26"/>
          <w:szCs w:val="26"/>
        </w:rPr>
        <w:t xml:space="preserve">(2), 263-286. </w:t>
      </w:r>
    </w:p>
    <w:p w14:paraId="4DE66D74" w14:textId="77777777" w:rsidR="009427E2" w:rsidRPr="00440785" w:rsidRDefault="009427E2" w:rsidP="003F327A">
      <w:pPr>
        <w:pStyle w:val="EndNoteBibliography"/>
        <w:spacing w:line="480" w:lineRule="auto"/>
        <w:ind w:left="720" w:hanging="720"/>
        <w:rPr>
          <w:rFonts w:ascii="Times New Roman" w:hAnsi="Times New Roman" w:cs="Times New Roman"/>
          <w:noProof/>
          <w:sz w:val="26"/>
          <w:szCs w:val="26"/>
        </w:rPr>
      </w:pPr>
      <w:r w:rsidRPr="00440785">
        <w:rPr>
          <w:rFonts w:ascii="Times New Roman" w:hAnsi="Times New Roman" w:cs="Times New Roman"/>
          <w:noProof/>
          <w:sz w:val="26"/>
          <w:szCs w:val="26"/>
        </w:rPr>
        <w:t xml:space="preserve">Khoi, P. D., Gan, C., Nartea, G. V., &amp; Cohen, D. A. (2013). Formal and informal rural credit in the Mekong River Delta of Vietnam: Interaction and accessibility. </w:t>
      </w:r>
      <w:r w:rsidRPr="00440785">
        <w:rPr>
          <w:rFonts w:ascii="Times New Roman" w:hAnsi="Times New Roman" w:cs="Times New Roman"/>
          <w:i/>
          <w:noProof/>
          <w:sz w:val="26"/>
          <w:szCs w:val="26"/>
        </w:rPr>
        <w:t>Journal of Asian Economics, 26</w:t>
      </w:r>
      <w:r w:rsidRPr="00440785">
        <w:rPr>
          <w:rFonts w:ascii="Times New Roman" w:hAnsi="Times New Roman" w:cs="Times New Roman"/>
          <w:noProof/>
          <w:sz w:val="26"/>
          <w:szCs w:val="26"/>
        </w:rPr>
        <w:t xml:space="preserve">, 1-13. </w:t>
      </w:r>
    </w:p>
    <w:p w14:paraId="1C01D762" w14:textId="77777777" w:rsidR="009427E2" w:rsidRPr="00440785" w:rsidRDefault="009427E2" w:rsidP="003F327A">
      <w:pPr>
        <w:pStyle w:val="EndNoteBibliography"/>
        <w:spacing w:line="480" w:lineRule="auto"/>
        <w:ind w:left="720" w:hanging="720"/>
        <w:rPr>
          <w:rFonts w:ascii="Times New Roman" w:hAnsi="Times New Roman" w:cs="Times New Roman"/>
          <w:noProof/>
          <w:sz w:val="26"/>
          <w:szCs w:val="26"/>
        </w:rPr>
      </w:pPr>
      <w:r w:rsidRPr="00440785">
        <w:rPr>
          <w:rFonts w:ascii="Times New Roman" w:hAnsi="Times New Roman" w:cs="Times New Roman"/>
          <w:noProof/>
          <w:sz w:val="26"/>
          <w:szCs w:val="26"/>
        </w:rPr>
        <w:t xml:space="preserve">Kosgey, Y. K. K. (2013). Agricultural credit access by grain growers in Uasin-Gishu County, Kenya. </w:t>
      </w:r>
      <w:r w:rsidRPr="00440785">
        <w:rPr>
          <w:rFonts w:ascii="Times New Roman" w:hAnsi="Times New Roman" w:cs="Times New Roman"/>
          <w:i/>
          <w:noProof/>
          <w:sz w:val="26"/>
          <w:szCs w:val="26"/>
        </w:rPr>
        <w:t>IOSR J. Econ. Fin, 2</w:t>
      </w:r>
      <w:r w:rsidRPr="00440785">
        <w:rPr>
          <w:rFonts w:ascii="Times New Roman" w:hAnsi="Times New Roman" w:cs="Times New Roman"/>
          <w:noProof/>
          <w:sz w:val="26"/>
          <w:szCs w:val="26"/>
        </w:rPr>
        <w:t xml:space="preserve">(3), 36-52. </w:t>
      </w:r>
    </w:p>
    <w:p w14:paraId="0DB07A2F" w14:textId="77777777" w:rsidR="009427E2" w:rsidRPr="00440785" w:rsidRDefault="009427E2" w:rsidP="003F327A">
      <w:pPr>
        <w:pStyle w:val="EndNoteBibliography"/>
        <w:spacing w:line="480" w:lineRule="auto"/>
        <w:ind w:left="720" w:hanging="720"/>
        <w:rPr>
          <w:rFonts w:ascii="Times New Roman" w:hAnsi="Times New Roman" w:cs="Times New Roman"/>
          <w:noProof/>
          <w:sz w:val="26"/>
          <w:szCs w:val="26"/>
        </w:rPr>
      </w:pPr>
      <w:r w:rsidRPr="00440785">
        <w:rPr>
          <w:rFonts w:ascii="Times New Roman" w:hAnsi="Times New Roman" w:cs="Times New Roman"/>
          <w:noProof/>
          <w:sz w:val="26"/>
          <w:szCs w:val="26"/>
        </w:rPr>
        <w:t xml:space="preserve">Li, X., Gan, C., &amp; Hu, B. (2011). Accessibility to microcredit by Chinese rural households. </w:t>
      </w:r>
      <w:r w:rsidRPr="00440785">
        <w:rPr>
          <w:rFonts w:ascii="Times New Roman" w:hAnsi="Times New Roman" w:cs="Times New Roman"/>
          <w:i/>
          <w:noProof/>
          <w:sz w:val="26"/>
          <w:szCs w:val="26"/>
        </w:rPr>
        <w:t>Journal of Asian Economics, 22</w:t>
      </w:r>
      <w:r w:rsidRPr="00440785">
        <w:rPr>
          <w:rFonts w:ascii="Times New Roman" w:hAnsi="Times New Roman" w:cs="Times New Roman"/>
          <w:noProof/>
          <w:sz w:val="26"/>
          <w:szCs w:val="26"/>
        </w:rPr>
        <w:t>(3), 235-246. doi:</w:t>
      </w:r>
      <w:hyperlink r:id="rId13" w:history="1">
        <w:r w:rsidRPr="00440785">
          <w:rPr>
            <w:rFonts w:ascii="Times New Roman" w:hAnsi="Times New Roman" w:cs="Times New Roman"/>
            <w:sz w:val="26"/>
            <w:szCs w:val="26"/>
          </w:rPr>
          <w:t>https://doi.org/10.1016/j.asieco.2011.01.004</w:t>
        </w:r>
      </w:hyperlink>
    </w:p>
    <w:p w14:paraId="464C1DAA" w14:textId="77777777" w:rsidR="009427E2" w:rsidRPr="00440785" w:rsidRDefault="009427E2" w:rsidP="003F327A">
      <w:pPr>
        <w:pStyle w:val="EndNoteBibliography"/>
        <w:spacing w:line="480" w:lineRule="auto"/>
        <w:ind w:left="720" w:hanging="720"/>
        <w:rPr>
          <w:rFonts w:ascii="Times New Roman" w:hAnsi="Times New Roman" w:cs="Times New Roman"/>
          <w:noProof/>
          <w:sz w:val="26"/>
          <w:szCs w:val="26"/>
        </w:rPr>
      </w:pPr>
      <w:r w:rsidRPr="00440785">
        <w:rPr>
          <w:rFonts w:ascii="Times New Roman" w:hAnsi="Times New Roman" w:cs="Times New Roman"/>
          <w:noProof/>
          <w:sz w:val="26"/>
          <w:szCs w:val="26"/>
        </w:rPr>
        <w:lastRenderedPageBreak/>
        <w:t xml:space="preserve">Luan, D. X., &amp; Bauer, S. (2016). Does credit access affect household income homogeneously across different groups of credit recipients? Evidence from rural Vietnam. </w:t>
      </w:r>
      <w:r w:rsidRPr="00440785">
        <w:rPr>
          <w:rFonts w:ascii="Times New Roman" w:hAnsi="Times New Roman" w:cs="Times New Roman"/>
          <w:i/>
          <w:noProof/>
          <w:sz w:val="26"/>
          <w:szCs w:val="26"/>
        </w:rPr>
        <w:t>Journal of Rural Studies, 47</w:t>
      </w:r>
      <w:r w:rsidRPr="00440785">
        <w:rPr>
          <w:rFonts w:ascii="Times New Roman" w:hAnsi="Times New Roman" w:cs="Times New Roman"/>
          <w:noProof/>
          <w:sz w:val="26"/>
          <w:szCs w:val="26"/>
        </w:rPr>
        <w:t>, 186-203. doi:</w:t>
      </w:r>
      <w:hyperlink r:id="rId14" w:history="1">
        <w:r w:rsidRPr="00440785">
          <w:rPr>
            <w:rFonts w:ascii="Times New Roman" w:hAnsi="Times New Roman" w:cs="Times New Roman"/>
            <w:sz w:val="26"/>
            <w:szCs w:val="26"/>
          </w:rPr>
          <w:t>https://doi.org/10.1016/j.jrurstud.2016.08.001</w:t>
        </w:r>
      </w:hyperlink>
    </w:p>
    <w:p w14:paraId="711ACC43" w14:textId="77777777" w:rsidR="009427E2" w:rsidRPr="00440785" w:rsidRDefault="009427E2" w:rsidP="003F327A">
      <w:pPr>
        <w:pStyle w:val="EndNoteBibliography"/>
        <w:spacing w:line="480" w:lineRule="auto"/>
        <w:ind w:left="720" w:hanging="720"/>
        <w:rPr>
          <w:rFonts w:ascii="Times New Roman" w:hAnsi="Times New Roman" w:cs="Times New Roman"/>
          <w:noProof/>
          <w:sz w:val="26"/>
          <w:szCs w:val="26"/>
        </w:rPr>
      </w:pPr>
      <w:r w:rsidRPr="00440785">
        <w:rPr>
          <w:rFonts w:ascii="Times New Roman" w:hAnsi="Times New Roman" w:cs="Times New Roman"/>
          <w:noProof/>
          <w:sz w:val="26"/>
          <w:szCs w:val="26"/>
        </w:rPr>
        <w:t xml:space="preserve">Manja, L. P., &amp; Badjie, I. A. (2022). The Welfare Effects of Formal and Informal Financial Access in the Gambia: A Comparative Assessment. </w:t>
      </w:r>
      <w:r w:rsidRPr="00440785">
        <w:rPr>
          <w:rFonts w:ascii="Times New Roman" w:hAnsi="Times New Roman" w:cs="Times New Roman"/>
          <w:i/>
          <w:noProof/>
          <w:sz w:val="26"/>
          <w:szCs w:val="26"/>
        </w:rPr>
        <w:t>SAGE Open, 12</w:t>
      </w:r>
      <w:r w:rsidRPr="00440785">
        <w:rPr>
          <w:rFonts w:ascii="Times New Roman" w:hAnsi="Times New Roman" w:cs="Times New Roman"/>
          <w:noProof/>
          <w:sz w:val="26"/>
          <w:szCs w:val="26"/>
        </w:rPr>
        <w:t xml:space="preserve">(1), 21582440221081111. </w:t>
      </w:r>
    </w:p>
    <w:p w14:paraId="23F989D7" w14:textId="77777777" w:rsidR="009427E2" w:rsidRPr="00440785" w:rsidRDefault="009427E2" w:rsidP="003F327A">
      <w:pPr>
        <w:pStyle w:val="EndNoteBibliography"/>
        <w:spacing w:line="480" w:lineRule="auto"/>
        <w:ind w:left="720" w:hanging="720"/>
        <w:rPr>
          <w:rFonts w:ascii="Times New Roman" w:hAnsi="Times New Roman" w:cs="Times New Roman"/>
          <w:noProof/>
          <w:sz w:val="26"/>
          <w:szCs w:val="26"/>
        </w:rPr>
      </w:pPr>
      <w:r w:rsidRPr="00440785">
        <w:rPr>
          <w:rFonts w:ascii="Times New Roman" w:hAnsi="Times New Roman" w:cs="Times New Roman"/>
          <w:noProof/>
          <w:sz w:val="26"/>
          <w:szCs w:val="26"/>
        </w:rPr>
        <w:t xml:space="preserve">Morduch, J., &amp; Haley, B. (2002). Analysis of the effects of microfinance on poverty reduction. </w:t>
      </w:r>
      <w:r w:rsidRPr="00440785">
        <w:rPr>
          <w:rFonts w:ascii="Times New Roman" w:hAnsi="Times New Roman" w:cs="Times New Roman"/>
          <w:i/>
          <w:noProof/>
          <w:sz w:val="26"/>
          <w:szCs w:val="26"/>
        </w:rPr>
        <w:t>New York: NYU Wagner Working Paper, 1014</w:t>
      </w:r>
      <w:r w:rsidRPr="00440785">
        <w:rPr>
          <w:rFonts w:ascii="Times New Roman" w:hAnsi="Times New Roman" w:cs="Times New Roman"/>
          <w:noProof/>
          <w:sz w:val="26"/>
          <w:szCs w:val="26"/>
        </w:rPr>
        <w:t xml:space="preserve">. </w:t>
      </w:r>
    </w:p>
    <w:p w14:paraId="3729C663" w14:textId="77777777" w:rsidR="009427E2" w:rsidRPr="00440785" w:rsidRDefault="009427E2" w:rsidP="003F327A">
      <w:pPr>
        <w:pStyle w:val="EndNoteBibliography"/>
        <w:spacing w:line="480" w:lineRule="auto"/>
        <w:ind w:left="720" w:hanging="720"/>
        <w:rPr>
          <w:rFonts w:ascii="Times New Roman" w:hAnsi="Times New Roman" w:cs="Times New Roman"/>
          <w:noProof/>
          <w:sz w:val="26"/>
          <w:szCs w:val="26"/>
        </w:rPr>
      </w:pPr>
      <w:r w:rsidRPr="00440785">
        <w:rPr>
          <w:rFonts w:ascii="Times New Roman" w:hAnsi="Times New Roman" w:cs="Times New Roman"/>
          <w:noProof/>
          <w:sz w:val="26"/>
          <w:szCs w:val="26"/>
        </w:rPr>
        <w:t xml:space="preserve">Odhiambo, F. O., &amp; Upadhyaya, R. (2020). Flexible loans and access to agricultural credit for smallholder farmers in Kenya. </w:t>
      </w:r>
      <w:r w:rsidRPr="00440785">
        <w:rPr>
          <w:rFonts w:ascii="Times New Roman" w:hAnsi="Times New Roman" w:cs="Times New Roman"/>
          <w:i/>
          <w:noProof/>
          <w:sz w:val="26"/>
          <w:szCs w:val="26"/>
        </w:rPr>
        <w:t>Agricultural Finance Review</w:t>
      </w:r>
      <w:r w:rsidRPr="00440785">
        <w:rPr>
          <w:rFonts w:ascii="Times New Roman" w:hAnsi="Times New Roman" w:cs="Times New Roman"/>
          <w:noProof/>
          <w:sz w:val="26"/>
          <w:szCs w:val="26"/>
        </w:rPr>
        <w:t xml:space="preserve">. </w:t>
      </w:r>
    </w:p>
    <w:p w14:paraId="6F23910B" w14:textId="77777777" w:rsidR="009427E2" w:rsidRPr="00440785" w:rsidRDefault="009427E2" w:rsidP="003F327A">
      <w:pPr>
        <w:pStyle w:val="EndNoteBibliography"/>
        <w:spacing w:line="480" w:lineRule="auto"/>
        <w:ind w:left="720" w:hanging="720"/>
        <w:rPr>
          <w:rFonts w:ascii="Times New Roman" w:hAnsi="Times New Roman" w:cs="Times New Roman"/>
          <w:noProof/>
          <w:sz w:val="26"/>
          <w:szCs w:val="26"/>
        </w:rPr>
      </w:pPr>
      <w:r w:rsidRPr="00440785">
        <w:rPr>
          <w:rFonts w:ascii="Times New Roman" w:hAnsi="Times New Roman" w:cs="Times New Roman"/>
          <w:noProof/>
          <w:sz w:val="26"/>
          <w:szCs w:val="26"/>
        </w:rPr>
        <w:t xml:space="preserve">Okurut, F. N., Schoombee, A., &amp; Van der Berg, S. (2005). Credit Demand and Credit Rationing in the Informal Financial Sector in Uganda 1. </w:t>
      </w:r>
      <w:r w:rsidRPr="00440785">
        <w:rPr>
          <w:rFonts w:ascii="Times New Roman" w:hAnsi="Times New Roman" w:cs="Times New Roman"/>
          <w:i/>
          <w:noProof/>
          <w:sz w:val="26"/>
          <w:szCs w:val="26"/>
        </w:rPr>
        <w:t>South African Journal of Economics, 73</w:t>
      </w:r>
      <w:r w:rsidRPr="00440785">
        <w:rPr>
          <w:rFonts w:ascii="Times New Roman" w:hAnsi="Times New Roman" w:cs="Times New Roman"/>
          <w:noProof/>
          <w:sz w:val="26"/>
          <w:szCs w:val="26"/>
        </w:rPr>
        <w:t xml:space="preserve">(3), 482-497. </w:t>
      </w:r>
    </w:p>
    <w:p w14:paraId="42804184" w14:textId="77777777" w:rsidR="009427E2" w:rsidRPr="00440785" w:rsidRDefault="009427E2" w:rsidP="003F327A">
      <w:pPr>
        <w:pStyle w:val="EndNoteBibliography"/>
        <w:spacing w:line="480" w:lineRule="auto"/>
        <w:ind w:left="720" w:hanging="720"/>
        <w:rPr>
          <w:rFonts w:ascii="Times New Roman" w:hAnsi="Times New Roman" w:cs="Times New Roman"/>
          <w:noProof/>
          <w:sz w:val="26"/>
          <w:szCs w:val="26"/>
        </w:rPr>
      </w:pPr>
      <w:r w:rsidRPr="00440785">
        <w:rPr>
          <w:rFonts w:ascii="Times New Roman" w:hAnsi="Times New Roman" w:cs="Times New Roman"/>
          <w:noProof/>
          <w:sz w:val="26"/>
          <w:szCs w:val="26"/>
        </w:rPr>
        <w:t xml:space="preserve">Olagunju, F. (2007). Impact of credit use on resource productivity of sweet potatoes farmers in Osun-State, Nigeria. </w:t>
      </w:r>
      <w:r w:rsidRPr="00440785">
        <w:rPr>
          <w:rFonts w:ascii="Times New Roman" w:hAnsi="Times New Roman" w:cs="Times New Roman"/>
          <w:i/>
          <w:noProof/>
          <w:sz w:val="26"/>
          <w:szCs w:val="26"/>
        </w:rPr>
        <w:t>Journal of Social Sciences, 14</w:t>
      </w:r>
      <w:r w:rsidRPr="00440785">
        <w:rPr>
          <w:rFonts w:ascii="Times New Roman" w:hAnsi="Times New Roman" w:cs="Times New Roman"/>
          <w:noProof/>
          <w:sz w:val="26"/>
          <w:szCs w:val="26"/>
        </w:rPr>
        <w:t xml:space="preserve">(2), 177-178. </w:t>
      </w:r>
    </w:p>
    <w:p w14:paraId="3328C898" w14:textId="77777777" w:rsidR="009427E2" w:rsidRPr="00440785" w:rsidRDefault="009427E2" w:rsidP="003F327A">
      <w:pPr>
        <w:pStyle w:val="EndNoteBibliography"/>
        <w:spacing w:line="480" w:lineRule="auto"/>
        <w:ind w:left="720" w:hanging="720"/>
        <w:rPr>
          <w:rFonts w:ascii="Times New Roman" w:hAnsi="Times New Roman" w:cs="Times New Roman"/>
          <w:noProof/>
          <w:sz w:val="26"/>
          <w:szCs w:val="26"/>
        </w:rPr>
      </w:pPr>
      <w:r w:rsidRPr="00440785">
        <w:rPr>
          <w:rFonts w:ascii="Times New Roman" w:hAnsi="Times New Roman" w:cs="Times New Roman"/>
          <w:noProof/>
          <w:sz w:val="26"/>
          <w:szCs w:val="26"/>
        </w:rPr>
        <w:t xml:space="preserve">Pranata, N. (2019). Financial inclusion in Indonesia’s fishery sector: Factors determining credit participation. </w:t>
      </w:r>
      <w:r w:rsidRPr="00440785">
        <w:rPr>
          <w:rFonts w:ascii="Times New Roman" w:hAnsi="Times New Roman" w:cs="Times New Roman"/>
          <w:i/>
          <w:noProof/>
          <w:sz w:val="26"/>
          <w:szCs w:val="26"/>
        </w:rPr>
        <w:t>Institutions and Economies</w:t>
      </w:r>
      <w:r w:rsidRPr="00440785">
        <w:rPr>
          <w:rFonts w:ascii="Times New Roman" w:hAnsi="Times New Roman" w:cs="Times New Roman"/>
          <w:noProof/>
          <w:sz w:val="26"/>
          <w:szCs w:val="26"/>
        </w:rPr>
        <w:t xml:space="preserve">, 51-77. </w:t>
      </w:r>
    </w:p>
    <w:p w14:paraId="3B778574" w14:textId="77777777" w:rsidR="009427E2" w:rsidRPr="00440785" w:rsidRDefault="009427E2" w:rsidP="003F327A">
      <w:pPr>
        <w:pStyle w:val="EndNoteBibliography"/>
        <w:spacing w:line="480" w:lineRule="auto"/>
        <w:ind w:left="720" w:hanging="720"/>
        <w:rPr>
          <w:rFonts w:ascii="Times New Roman" w:hAnsi="Times New Roman" w:cs="Times New Roman"/>
          <w:noProof/>
          <w:sz w:val="26"/>
          <w:szCs w:val="26"/>
        </w:rPr>
      </w:pPr>
      <w:r w:rsidRPr="00440785">
        <w:rPr>
          <w:rFonts w:ascii="Times New Roman" w:hAnsi="Times New Roman" w:cs="Times New Roman"/>
          <w:noProof/>
          <w:sz w:val="26"/>
          <w:szCs w:val="26"/>
        </w:rPr>
        <w:t xml:space="preserve">Sekyi, S., Domanban, P. B., &amp; Honya, G. K. (2019). The impact of informal credit on rural agricultural productivity in the savannah ecological zone of Ghana. </w:t>
      </w:r>
      <w:r w:rsidRPr="00440785">
        <w:rPr>
          <w:rFonts w:ascii="Times New Roman" w:hAnsi="Times New Roman" w:cs="Times New Roman"/>
          <w:i/>
          <w:noProof/>
          <w:sz w:val="26"/>
          <w:szCs w:val="26"/>
        </w:rPr>
        <w:t>African Journal of Economic and Management Studies</w:t>
      </w:r>
      <w:r w:rsidRPr="00440785">
        <w:rPr>
          <w:rFonts w:ascii="Times New Roman" w:hAnsi="Times New Roman" w:cs="Times New Roman"/>
          <w:noProof/>
          <w:sz w:val="26"/>
          <w:szCs w:val="26"/>
        </w:rPr>
        <w:t xml:space="preserve">. </w:t>
      </w:r>
    </w:p>
    <w:p w14:paraId="734798AA" w14:textId="77777777" w:rsidR="009427E2" w:rsidRPr="00440785" w:rsidRDefault="009427E2" w:rsidP="003F327A">
      <w:pPr>
        <w:pStyle w:val="EndNoteBibliography"/>
        <w:spacing w:line="480" w:lineRule="auto"/>
        <w:ind w:left="720" w:hanging="720"/>
        <w:rPr>
          <w:rFonts w:ascii="Times New Roman" w:hAnsi="Times New Roman" w:cs="Times New Roman"/>
          <w:noProof/>
          <w:sz w:val="26"/>
          <w:szCs w:val="26"/>
        </w:rPr>
      </w:pPr>
      <w:r w:rsidRPr="00440785">
        <w:rPr>
          <w:rFonts w:ascii="Times New Roman" w:hAnsi="Times New Roman" w:cs="Times New Roman"/>
          <w:noProof/>
          <w:sz w:val="26"/>
          <w:szCs w:val="26"/>
        </w:rPr>
        <w:t xml:space="preserve">Shah, S. R., Bukhari, A. T., Hashmi, A. A., Anwer, S., &amp; Anwar, T. (2008). Determination of credit programme participation and socioeconomic </w:t>
      </w:r>
      <w:r w:rsidRPr="00440785">
        <w:rPr>
          <w:rFonts w:ascii="Times New Roman" w:hAnsi="Times New Roman" w:cs="Times New Roman"/>
          <w:noProof/>
          <w:sz w:val="26"/>
          <w:szCs w:val="26"/>
        </w:rPr>
        <w:lastRenderedPageBreak/>
        <w:t xml:space="preserve">characteristics of beneficiaries: Evidence from Sargodha [with comments]. </w:t>
      </w:r>
      <w:r w:rsidRPr="00440785">
        <w:rPr>
          <w:rFonts w:ascii="Times New Roman" w:hAnsi="Times New Roman" w:cs="Times New Roman"/>
          <w:i/>
          <w:noProof/>
          <w:sz w:val="26"/>
          <w:szCs w:val="26"/>
        </w:rPr>
        <w:t>The Pakistan Development Review</w:t>
      </w:r>
      <w:r w:rsidRPr="00440785">
        <w:rPr>
          <w:rFonts w:ascii="Times New Roman" w:hAnsi="Times New Roman" w:cs="Times New Roman"/>
          <w:noProof/>
          <w:sz w:val="26"/>
          <w:szCs w:val="26"/>
        </w:rPr>
        <w:t xml:space="preserve">, 947-959. </w:t>
      </w:r>
    </w:p>
    <w:p w14:paraId="1CB8B6AF" w14:textId="77777777" w:rsidR="009427E2" w:rsidRPr="00440785" w:rsidRDefault="009427E2" w:rsidP="003F327A">
      <w:pPr>
        <w:pStyle w:val="EndNoteBibliography"/>
        <w:spacing w:line="480" w:lineRule="auto"/>
        <w:ind w:left="720" w:hanging="720"/>
        <w:rPr>
          <w:rFonts w:ascii="Times New Roman" w:hAnsi="Times New Roman" w:cs="Times New Roman"/>
          <w:noProof/>
          <w:sz w:val="26"/>
          <w:szCs w:val="26"/>
        </w:rPr>
      </w:pPr>
      <w:r w:rsidRPr="00440785">
        <w:rPr>
          <w:rFonts w:ascii="Times New Roman" w:hAnsi="Times New Roman" w:cs="Times New Roman"/>
          <w:noProof/>
          <w:sz w:val="26"/>
          <w:szCs w:val="26"/>
        </w:rPr>
        <w:t xml:space="preserve">Simtowe, F., Zeller, M., &amp; Phiri, A. (2006). Determinants of moral hazard in microfinance: Empirical evidence from joint liability lending programs in Malawi. </w:t>
      </w:r>
      <w:r w:rsidRPr="00440785">
        <w:rPr>
          <w:rFonts w:ascii="Times New Roman" w:hAnsi="Times New Roman" w:cs="Times New Roman"/>
          <w:i/>
          <w:noProof/>
          <w:sz w:val="26"/>
          <w:szCs w:val="26"/>
        </w:rPr>
        <w:t>African Review of Money Finance and Banking</w:t>
      </w:r>
      <w:r w:rsidRPr="00440785">
        <w:rPr>
          <w:rFonts w:ascii="Times New Roman" w:hAnsi="Times New Roman" w:cs="Times New Roman"/>
          <w:noProof/>
          <w:sz w:val="26"/>
          <w:szCs w:val="26"/>
        </w:rPr>
        <w:t xml:space="preserve">, 5-38. </w:t>
      </w:r>
    </w:p>
    <w:p w14:paraId="7545140A" w14:textId="77777777" w:rsidR="009427E2" w:rsidRPr="00440785" w:rsidRDefault="009427E2" w:rsidP="003F327A">
      <w:pPr>
        <w:pStyle w:val="EndNoteBibliography"/>
        <w:spacing w:line="480" w:lineRule="auto"/>
        <w:ind w:left="720" w:hanging="720"/>
        <w:rPr>
          <w:rFonts w:ascii="Times New Roman" w:hAnsi="Times New Roman" w:cs="Times New Roman"/>
          <w:noProof/>
          <w:sz w:val="26"/>
          <w:szCs w:val="26"/>
        </w:rPr>
      </w:pPr>
      <w:r w:rsidRPr="00440785">
        <w:rPr>
          <w:rFonts w:ascii="Times New Roman" w:hAnsi="Times New Roman" w:cs="Times New Roman"/>
          <w:noProof/>
          <w:sz w:val="26"/>
          <w:szCs w:val="26"/>
        </w:rPr>
        <w:t xml:space="preserve">Stiglitz, J. E., &amp; Weiss, A. (1981). Credit rationing in markets with imperfect information. </w:t>
      </w:r>
      <w:r w:rsidRPr="00440785">
        <w:rPr>
          <w:rFonts w:ascii="Times New Roman" w:hAnsi="Times New Roman" w:cs="Times New Roman"/>
          <w:i/>
          <w:noProof/>
          <w:sz w:val="26"/>
          <w:szCs w:val="26"/>
        </w:rPr>
        <w:t>The American economic review, 71</w:t>
      </w:r>
      <w:r w:rsidRPr="00440785">
        <w:rPr>
          <w:rFonts w:ascii="Times New Roman" w:hAnsi="Times New Roman" w:cs="Times New Roman"/>
          <w:noProof/>
          <w:sz w:val="26"/>
          <w:szCs w:val="26"/>
        </w:rPr>
        <w:t xml:space="preserve">(3), 393-410. </w:t>
      </w:r>
    </w:p>
    <w:p w14:paraId="12E7761D" w14:textId="77777777" w:rsidR="009427E2" w:rsidRPr="00440785" w:rsidRDefault="009427E2" w:rsidP="003F327A">
      <w:pPr>
        <w:pStyle w:val="EndNoteBibliography"/>
        <w:spacing w:line="480" w:lineRule="auto"/>
        <w:ind w:left="720" w:hanging="720"/>
        <w:rPr>
          <w:rFonts w:ascii="Times New Roman" w:hAnsi="Times New Roman" w:cs="Times New Roman"/>
          <w:noProof/>
          <w:sz w:val="26"/>
          <w:szCs w:val="26"/>
        </w:rPr>
      </w:pPr>
      <w:r w:rsidRPr="00440785">
        <w:rPr>
          <w:rFonts w:ascii="Times New Roman" w:hAnsi="Times New Roman" w:cs="Times New Roman"/>
          <w:noProof/>
          <w:sz w:val="26"/>
          <w:szCs w:val="26"/>
        </w:rPr>
        <w:t xml:space="preserve">Vaessen, J. (2001). ACCESSIBILITY OF RURAL CREDIT IN NORTHERN NICARAGUA: THE IMPORTANCE OF NETWORKS OF INFORMATION AND RECOMMENDATION/ACCESSIBILITÉ DU CRÉDIT RURAL DANS LE NORD DU NICARAGUA: L'IMPORTANCE DES RÉSEAUX D'INFORMATION ET DE RECOMMANDATION. </w:t>
      </w:r>
      <w:r w:rsidRPr="00440785">
        <w:rPr>
          <w:rFonts w:ascii="Times New Roman" w:hAnsi="Times New Roman" w:cs="Times New Roman"/>
          <w:i/>
          <w:noProof/>
          <w:sz w:val="26"/>
          <w:szCs w:val="26"/>
        </w:rPr>
        <w:t>Savings and Development</w:t>
      </w:r>
      <w:r w:rsidRPr="00440785">
        <w:rPr>
          <w:rFonts w:ascii="Times New Roman" w:hAnsi="Times New Roman" w:cs="Times New Roman"/>
          <w:noProof/>
          <w:sz w:val="26"/>
          <w:szCs w:val="26"/>
        </w:rPr>
        <w:t xml:space="preserve">, 5-32. </w:t>
      </w:r>
    </w:p>
    <w:p w14:paraId="54AAF300" w14:textId="77777777" w:rsidR="009427E2" w:rsidRPr="00440785" w:rsidRDefault="009427E2" w:rsidP="003F327A">
      <w:pPr>
        <w:pStyle w:val="EndNoteBibliography"/>
        <w:spacing w:line="480" w:lineRule="auto"/>
        <w:ind w:left="720" w:hanging="720"/>
        <w:rPr>
          <w:rFonts w:ascii="Times New Roman" w:hAnsi="Times New Roman" w:cs="Times New Roman"/>
          <w:noProof/>
          <w:sz w:val="26"/>
          <w:szCs w:val="26"/>
        </w:rPr>
      </w:pPr>
      <w:r w:rsidRPr="00440785">
        <w:rPr>
          <w:rFonts w:ascii="Times New Roman" w:hAnsi="Times New Roman" w:cs="Times New Roman"/>
          <w:noProof/>
          <w:sz w:val="26"/>
          <w:szCs w:val="26"/>
        </w:rPr>
        <w:t xml:space="preserve">Xi, Z., &amp; Li, Z.-n. (2007). Heterogeneous impact of farmer credit: an empirical investigation based on IVQR model. </w:t>
      </w:r>
      <w:r w:rsidRPr="00440785">
        <w:rPr>
          <w:rFonts w:ascii="Times New Roman" w:hAnsi="Times New Roman" w:cs="Times New Roman"/>
          <w:i/>
          <w:noProof/>
          <w:sz w:val="26"/>
          <w:szCs w:val="26"/>
        </w:rPr>
        <w:t>Systems Engineering-Theory &amp; Practice, 27</w:t>
      </w:r>
      <w:r w:rsidRPr="00440785">
        <w:rPr>
          <w:rFonts w:ascii="Times New Roman" w:hAnsi="Times New Roman" w:cs="Times New Roman"/>
          <w:noProof/>
          <w:sz w:val="26"/>
          <w:szCs w:val="26"/>
        </w:rPr>
        <w:t xml:space="preserve">(2), 68-75. </w:t>
      </w:r>
    </w:p>
    <w:p w14:paraId="01322C84" w14:textId="3D39373E" w:rsidR="009427E2" w:rsidRPr="00440785" w:rsidRDefault="009427E2" w:rsidP="003F327A">
      <w:pPr>
        <w:pStyle w:val="MDPI31text"/>
        <w:spacing w:line="480" w:lineRule="auto"/>
        <w:ind w:firstLine="0"/>
        <w:rPr>
          <w:rFonts w:ascii="Times New Roman" w:hAnsi="Times New Roman"/>
          <w:b/>
          <w:sz w:val="26"/>
          <w:szCs w:val="26"/>
        </w:rPr>
      </w:pPr>
      <w:r w:rsidRPr="00440785">
        <w:rPr>
          <w:rFonts w:ascii="Times New Roman" w:hAnsi="Times New Roman"/>
          <w:noProof/>
          <w:sz w:val="26"/>
          <w:szCs w:val="26"/>
        </w:rPr>
        <w:t xml:space="preserve">Yehuala, S. (2008). </w:t>
      </w:r>
      <w:r w:rsidRPr="00440785">
        <w:rPr>
          <w:rFonts w:ascii="Times New Roman" w:hAnsi="Times New Roman"/>
          <w:i/>
          <w:noProof/>
          <w:sz w:val="26"/>
          <w:szCs w:val="26"/>
        </w:rPr>
        <w:t>Determinants of smallholder farmers access to formal credit: the case of Metema Woreda, North Gondar, Ethiopia.</w:t>
      </w:r>
      <w:r w:rsidRPr="00440785">
        <w:rPr>
          <w:rFonts w:ascii="Times New Roman" w:hAnsi="Times New Roman"/>
          <w:noProof/>
          <w:sz w:val="26"/>
          <w:szCs w:val="26"/>
        </w:rPr>
        <w:t xml:space="preserve"> Haramaya University</w:t>
      </w:r>
    </w:p>
    <w:p w14:paraId="54B33BE6" w14:textId="32968F2A" w:rsidR="004458D4" w:rsidRPr="00440785" w:rsidRDefault="0010566F" w:rsidP="003F327A">
      <w:pPr>
        <w:pStyle w:val="MDPI31text"/>
        <w:spacing w:line="480" w:lineRule="auto"/>
        <w:rPr>
          <w:rFonts w:ascii="Times New Roman" w:hAnsi="Times New Roman"/>
          <w:sz w:val="26"/>
          <w:szCs w:val="26"/>
        </w:rPr>
      </w:pPr>
      <w:r w:rsidRPr="00440785">
        <w:rPr>
          <w:rFonts w:ascii="Times New Roman" w:hAnsi="Times New Roman"/>
          <w:sz w:val="26"/>
          <w:szCs w:val="26"/>
        </w:rPr>
        <w:fldChar w:fldCharType="begin"/>
      </w:r>
      <w:r w:rsidRPr="00440785">
        <w:rPr>
          <w:rFonts w:ascii="Times New Roman" w:hAnsi="Times New Roman"/>
          <w:sz w:val="26"/>
          <w:szCs w:val="26"/>
        </w:rPr>
        <w:instrText xml:space="preserve"> ADDIN EN.REFLIST </w:instrText>
      </w:r>
      <w:r w:rsidRPr="00440785">
        <w:rPr>
          <w:rFonts w:ascii="Times New Roman" w:hAnsi="Times New Roman"/>
          <w:sz w:val="26"/>
          <w:szCs w:val="26"/>
        </w:rPr>
        <w:fldChar w:fldCharType="end"/>
      </w:r>
    </w:p>
    <w:sectPr w:rsidR="004458D4" w:rsidRPr="00440785" w:rsidSect="007234DF">
      <w:pgSz w:w="11900" w:h="16840"/>
      <w:pgMar w:top="1247" w:right="1440" w:bottom="1247" w:left="1440"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EF300F" w14:textId="77777777" w:rsidR="0056622E" w:rsidRDefault="0056622E" w:rsidP="007234DF">
      <w:r>
        <w:separator/>
      </w:r>
    </w:p>
  </w:endnote>
  <w:endnote w:type="continuationSeparator" w:id="0">
    <w:p w14:paraId="7CFFEAA6" w14:textId="77777777" w:rsidR="0056622E" w:rsidRDefault="0056622E" w:rsidP="00723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Times New Roman">
    <w:panose1 w:val="02020603050405020304"/>
    <w:charset w:val="00"/>
    <w:family w:val="roman"/>
    <w:pitch w:val="variable"/>
    <w:sig w:usb0="E0002AE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panose1 w:val="02020609040205080304"/>
    <w:charset w:val="80"/>
    <w:family w:val="roma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Courier New">
    <w:panose1 w:val="02070309020205020404"/>
    <w:charset w:val="00"/>
    <w:family w:val="roman"/>
    <w:pitch w:val="fixed"/>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00274B" w14:textId="77777777" w:rsidR="00EE1EA9" w:rsidRDefault="00EE1EA9" w:rsidP="0010566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DC79086" w14:textId="77777777" w:rsidR="00EE1EA9" w:rsidRDefault="00EE1EA9" w:rsidP="0010566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3C3D69" w14:textId="77777777" w:rsidR="00EE1EA9" w:rsidRDefault="00EE1EA9" w:rsidP="0010566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82ABE">
      <w:rPr>
        <w:rStyle w:val="PageNumber"/>
        <w:noProof/>
      </w:rPr>
      <w:t>20</w:t>
    </w:r>
    <w:r>
      <w:rPr>
        <w:rStyle w:val="PageNumber"/>
      </w:rPr>
      <w:fldChar w:fldCharType="end"/>
    </w:r>
  </w:p>
  <w:p w14:paraId="55249A31" w14:textId="77777777" w:rsidR="00EE1EA9" w:rsidRDefault="00EE1EA9" w:rsidP="0010566F">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F2FC44" w14:textId="77777777" w:rsidR="0056622E" w:rsidRDefault="0056622E" w:rsidP="007234DF">
      <w:r>
        <w:separator/>
      </w:r>
    </w:p>
  </w:footnote>
  <w:footnote w:type="continuationSeparator" w:id="0">
    <w:p w14:paraId="0E93C6E3" w14:textId="77777777" w:rsidR="0056622E" w:rsidRDefault="0056622E" w:rsidP="007234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ctiveWritingStyle w:appName="MSWord" w:lang="en-US" w:vendorID="64" w:dllVersion="6" w:nlCheck="1" w:checkStyle="1"/>
  <w:activeWritingStyle w:appName="MSWord" w:lang="en-GB" w:vendorID="64" w:dllVersion="6" w:nlCheck="1" w:checkStyle="1"/>
  <w:activeWritingStyle w:appName="MSWord" w:lang="en-AU"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AU" w:vendorID="64" w:dllVersion="4096" w:nlCheck="1" w:checkStyle="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Palatino Linotype&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tds0ppvut0a9qefp9bv25puvf9a0fpxt0dr&quot;&gt;Access to credit&lt;record-ids&gt;&lt;item&gt;65&lt;/item&gt;&lt;item&gt;71&lt;/item&gt;&lt;item&gt;134&lt;/item&gt;&lt;item&gt;135&lt;/item&gt;&lt;item&gt;137&lt;/item&gt;&lt;item&gt;206&lt;/item&gt;&lt;/record-ids&gt;&lt;/item&gt;&lt;/Libraries&gt;"/>
  </w:docVars>
  <w:rsids>
    <w:rsidRoot w:val="007C0240"/>
    <w:rsid w:val="00001E27"/>
    <w:rsid w:val="00005A61"/>
    <w:rsid w:val="00011319"/>
    <w:rsid w:val="000139B2"/>
    <w:rsid w:val="00020123"/>
    <w:rsid w:val="0002046E"/>
    <w:rsid w:val="00025515"/>
    <w:rsid w:val="00027077"/>
    <w:rsid w:val="00037A47"/>
    <w:rsid w:val="00041F10"/>
    <w:rsid w:val="00045318"/>
    <w:rsid w:val="0006319A"/>
    <w:rsid w:val="00064811"/>
    <w:rsid w:val="00073ACE"/>
    <w:rsid w:val="00075F7B"/>
    <w:rsid w:val="00077F6E"/>
    <w:rsid w:val="0008004A"/>
    <w:rsid w:val="00083FBC"/>
    <w:rsid w:val="000A27A6"/>
    <w:rsid w:val="000B0CF0"/>
    <w:rsid w:val="000B3391"/>
    <w:rsid w:val="000B4EA4"/>
    <w:rsid w:val="000B5B85"/>
    <w:rsid w:val="000B7A5A"/>
    <w:rsid w:val="000C57BB"/>
    <w:rsid w:val="000D5EE9"/>
    <w:rsid w:val="000D789A"/>
    <w:rsid w:val="000E0630"/>
    <w:rsid w:val="000E2493"/>
    <w:rsid w:val="000E3037"/>
    <w:rsid w:val="000E4190"/>
    <w:rsid w:val="000E7D44"/>
    <w:rsid w:val="000F26A9"/>
    <w:rsid w:val="000F38BB"/>
    <w:rsid w:val="0010566F"/>
    <w:rsid w:val="00110E67"/>
    <w:rsid w:val="00110FFD"/>
    <w:rsid w:val="0011213D"/>
    <w:rsid w:val="00125257"/>
    <w:rsid w:val="0013381F"/>
    <w:rsid w:val="001369D0"/>
    <w:rsid w:val="00142412"/>
    <w:rsid w:val="00143019"/>
    <w:rsid w:val="0014703B"/>
    <w:rsid w:val="0016763E"/>
    <w:rsid w:val="001722FB"/>
    <w:rsid w:val="00172480"/>
    <w:rsid w:val="00172FB8"/>
    <w:rsid w:val="001757BC"/>
    <w:rsid w:val="00175AD4"/>
    <w:rsid w:val="00182ABE"/>
    <w:rsid w:val="001919B2"/>
    <w:rsid w:val="001958DB"/>
    <w:rsid w:val="00196371"/>
    <w:rsid w:val="00197AD0"/>
    <w:rsid w:val="001C4D70"/>
    <w:rsid w:val="001C62F8"/>
    <w:rsid w:val="001F7149"/>
    <w:rsid w:val="00202D6E"/>
    <w:rsid w:val="00207C56"/>
    <w:rsid w:val="00212889"/>
    <w:rsid w:val="00221E75"/>
    <w:rsid w:val="00224997"/>
    <w:rsid w:val="00233C22"/>
    <w:rsid w:val="00236CFA"/>
    <w:rsid w:val="002458CC"/>
    <w:rsid w:val="00254467"/>
    <w:rsid w:val="00265CFE"/>
    <w:rsid w:val="00283337"/>
    <w:rsid w:val="002835D3"/>
    <w:rsid w:val="0029356D"/>
    <w:rsid w:val="00297865"/>
    <w:rsid w:val="002A78DA"/>
    <w:rsid w:val="002A7F50"/>
    <w:rsid w:val="002B738D"/>
    <w:rsid w:val="002F1057"/>
    <w:rsid w:val="00302C49"/>
    <w:rsid w:val="003077DB"/>
    <w:rsid w:val="003100C9"/>
    <w:rsid w:val="00312490"/>
    <w:rsid w:val="00321762"/>
    <w:rsid w:val="00327EB2"/>
    <w:rsid w:val="00351C4A"/>
    <w:rsid w:val="00360FCF"/>
    <w:rsid w:val="00364998"/>
    <w:rsid w:val="00364BF6"/>
    <w:rsid w:val="003725A8"/>
    <w:rsid w:val="00382E5D"/>
    <w:rsid w:val="00392224"/>
    <w:rsid w:val="00395244"/>
    <w:rsid w:val="00395F35"/>
    <w:rsid w:val="00396178"/>
    <w:rsid w:val="0039744C"/>
    <w:rsid w:val="003A2916"/>
    <w:rsid w:val="003B1011"/>
    <w:rsid w:val="003B78FC"/>
    <w:rsid w:val="003C0E80"/>
    <w:rsid w:val="003C7B8E"/>
    <w:rsid w:val="003D0A81"/>
    <w:rsid w:val="003E0B8B"/>
    <w:rsid w:val="003E1C07"/>
    <w:rsid w:val="003E4C6F"/>
    <w:rsid w:val="003F30F7"/>
    <w:rsid w:val="003F327A"/>
    <w:rsid w:val="003F5E1F"/>
    <w:rsid w:val="003F5EE4"/>
    <w:rsid w:val="003F752E"/>
    <w:rsid w:val="003F7A62"/>
    <w:rsid w:val="00412859"/>
    <w:rsid w:val="00414204"/>
    <w:rsid w:val="00430DC0"/>
    <w:rsid w:val="004350EB"/>
    <w:rsid w:val="00440785"/>
    <w:rsid w:val="004458D4"/>
    <w:rsid w:val="0045067B"/>
    <w:rsid w:val="004515E5"/>
    <w:rsid w:val="00457EF1"/>
    <w:rsid w:val="00467B42"/>
    <w:rsid w:val="00477A3E"/>
    <w:rsid w:val="0049037D"/>
    <w:rsid w:val="0049114C"/>
    <w:rsid w:val="00493241"/>
    <w:rsid w:val="004A0D5E"/>
    <w:rsid w:val="004A1E58"/>
    <w:rsid w:val="004A412B"/>
    <w:rsid w:val="004B4C2E"/>
    <w:rsid w:val="004B4FE2"/>
    <w:rsid w:val="004B581C"/>
    <w:rsid w:val="004C32A3"/>
    <w:rsid w:val="004D1B53"/>
    <w:rsid w:val="004D5460"/>
    <w:rsid w:val="004E4B3F"/>
    <w:rsid w:val="004F4424"/>
    <w:rsid w:val="004F6897"/>
    <w:rsid w:val="00517535"/>
    <w:rsid w:val="00527FBE"/>
    <w:rsid w:val="005337F1"/>
    <w:rsid w:val="005443F7"/>
    <w:rsid w:val="00544B2A"/>
    <w:rsid w:val="0054780E"/>
    <w:rsid w:val="005479FD"/>
    <w:rsid w:val="00551A65"/>
    <w:rsid w:val="00552DE4"/>
    <w:rsid w:val="00554682"/>
    <w:rsid w:val="0056622E"/>
    <w:rsid w:val="005852CF"/>
    <w:rsid w:val="005A2BC7"/>
    <w:rsid w:val="005B037F"/>
    <w:rsid w:val="005E42F8"/>
    <w:rsid w:val="005F1EB9"/>
    <w:rsid w:val="00604D86"/>
    <w:rsid w:val="0061745E"/>
    <w:rsid w:val="0062167A"/>
    <w:rsid w:val="00623211"/>
    <w:rsid w:val="006314AE"/>
    <w:rsid w:val="00634158"/>
    <w:rsid w:val="00644A43"/>
    <w:rsid w:val="0064624D"/>
    <w:rsid w:val="00651385"/>
    <w:rsid w:val="00656337"/>
    <w:rsid w:val="00660884"/>
    <w:rsid w:val="00666CFD"/>
    <w:rsid w:val="00666E7F"/>
    <w:rsid w:val="00670174"/>
    <w:rsid w:val="00674D74"/>
    <w:rsid w:val="006B145A"/>
    <w:rsid w:val="006B7B98"/>
    <w:rsid w:val="006C2A1C"/>
    <w:rsid w:val="006C2E9C"/>
    <w:rsid w:val="006D7C4B"/>
    <w:rsid w:val="006E02D4"/>
    <w:rsid w:val="006E750B"/>
    <w:rsid w:val="006F018A"/>
    <w:rsid w:val="006F116D"/>
    <w:rsid w:val="006F2854"/>
    <w:rsid w:val="006F6ECF"/>
    <w:rsid w:val="00702F48"/>
    <w:rsid w:val="00706E7F"/>
    <w:rsid w:val="00714C86"/>
    <w:rsid w:val="00722AC2"/>
    <w:rsid w:val="007234DF"/>
    <w:rsid w:val="00736439"/>
    <w:rsid w:val="00747D8E"/>
    <w:rsid w:val="00752CEB"/>
    <w:rsid w:val="00763ED8"/>
    <w:rsid w:val="00764E4A"/>
    <w:rsid w:val="00777251"/>
    <w:rsid w:val="007826B0"/>
    <w:rsid w:val="007943F3"/>
    <w:rsid w:val="007A3168"/>
    <w:rsid w:val="007B4313"/>
    <w:rsid w:val="007B7BF1"/>
    <w:rsid w:val="007C0240"/>
    <w:rsid w:val="007D27C2"/>
    <w:rsid w:val="007D2C72"/>
    <w:rsid w:val="007D3E17"/>
    <w:rsid w:val="007E0EB1"/>
    <w:rsid w:val="0080244E"/>
    <w:rsid w:val="00803439"/>
    <w:rsid w:val="00804BDA"/>
    <w:rsid w:val="00804D89"/>
    <w:rsid w:val="008065CF"/>
    <w:rsid w:val="0082053A"/>
    <w:rsid w:val="00822A46"/>
    <w:rsid w:val="00830980"/>
    <w:rsid w:val="00850D5E"/>
    <w:rsid w:val="00851BCC"/>
    <w:rsid w:val="00856711"/>
    <w:rsid w:val="008627D1"/>
    <w:rsid w:val="00877C37"/>
    <w:rsid w:val="0088020C"/>
    <w:rsid w:val="008973EF"/>
    <w:rsid w:val="00897C49"/>
    <w:rsid w:val="008A05BC"/>
    <w:rsid w:val="008A2A74"/>
    <w:rsid w:val="008A36AF"/>
    <w:rsid w:val="008B0CD6"/>
    <w:rsid w:val="008B7B81"/>
    <w:rsid w:val="008C3A8B"/>
    <w:rsid w:val="008C7469"/>
    <w:rsid w:val="008D616F"/>
    <w:rsid w:val="008E6F56"/>
    <w:rsid w:val="008F207F"/>
    <w:rsid w:val="008F2641"/>
    <w:rsid w:val="008F7554"/>
    <w:rsid w:val="00912AC3"/>
    <w:rsid w:val="00916C4A"/>
    <w:rsid w:val="00916D8D"/>
    <w:rsid w:val="00930CDB"/>
    <w:rsid w:val="0093528A"/>
    <w:rsid w:val="0093550F"/>
    <w:rsid w:val="009427E2"/>
    <w:rsid w:val="00946446"/>
    <w:rsid w:val="00950319"/>
    <w:rsid w:val="00954459"/>
    <w:rsid w:val="00954D79"/>
    <w:rsid w:val="0095764C"/>
    <w:rsid w:val="00963810"/>
    <w:rsid w:val="00965B70"/>
    <w:rsid w:val="00973EA2"/>
    <w:rsid w:val="00981145"/>
    <w:rsid w:val="00982BEE"/>
    <w:rsid w:val="009A2119"/>
    <w:rsid w:val="009C16C9"/>
    <w:rsid w:val="009D4F7D"/>
    <w:rsid w:val="009E7C66"/>
    <w:rsid w:val="009F1B5F"/>
    <w:rsid w:val="009F34AF"/>
    <w:rsid w:val="00A0667A"/>
    <w:rsid w:val="00A07593"/>
    <w:rsid w:val="00A07EC9"/>
    <w:rsid w:val="00A21858"/>
    <w:rsid w:val="00A228A2"/>
    <w:rsid w:val="00A27BBC"/>
    <w:rsid w:val="00A43652"/>
    <w:rsid w:val="00A53BD8"/>
    <w:rsid w:val="00A60FD0"/>
    <w:rsid w:val="00A65CCD"/>
    <w:rsid w:val="00A65CD2"/>
    <w:rsid w:val="00A74C7C"/>
    <w:rsid w:val="00A87304"/>
    <w:rsid w:val="00A901DA"/>
    <w:rsid w:val="00A93F1B"/>
    <w:rsid w:val="00A95D27"/>
    <w:rsid w:val="00AA7E8D"/>
    <w:rsid w:val="00AC7985"/>
    <w:rsid w:val="00AD5E46"/>
    <w:rsid w:val="00AD7A56"/>
    <w:rsid w:val="00AE37B3"/>
    <w:rsid w:val="00AF568F"/>
    <w:rsid w:val="00AF79FF"/>
    <w:rsid w:val="00B0328C"/>
    <w:rsid w:val="00B04332"/>
    <w:rsid w:val="00B05E7B"/>
    <w:rsid w:val="00B17158"/>
    <w:rsid w:val="00B342FE"/>
    <w:rsid w:val="00B3504A"/>
    <w:rsid w:val="00B40F99"/>
    <w:rsid w:val="00B468F5"/>
    <w:rsid w:val="00B46F7D"/>
    <w:rsid w:val="00B471B6"/>
    <w:rsid w:val="00B47339"/>
    <w:rsid w:val="00B66181"/>
    <w:rsid w:val="00B66BA0"/>
    <w:rsid w:val="00B92CB9"/>
    <w:rsid w:val="00B9371C"/>
    <w:rsid w:val="00BA2CE1"/>
    <w:rsid w:val="00BA6449"/>
    <w:rsid w:val="00BB0D8A"/>
    <w:rsid w:val="00BB79E4"/>
    <w:rsid w:val="00BD3BE4"/>
    <w:rsid w:val="00BE053F"/>
    <w:rsid w:val="00C2104C"/>
    <w:rsid w:val="00C25251"/>
    <w:rsid w:val="00C33703"/>
    <w:rsid w:val="00C343D9"/>
    <w:rsid w:val="00C374A2"/>
    <w:rsid w:val="00C4343F"/>
    <w:rsid w:val="00C4477A"/>
    <w:rsid w:val="00C50BAB"/>
    <w:rsid w:val="00C51633"/>
    <w:rsid w:val="00C530C6"/>
    <w:rsid w:val="00C544F5"/>
    <w:rsid w:val="00C608DD"/>
    <w:rsid w:val="00C615BE"/>
    <w:rsid w:val="00C63CB1"/>
    <w:rsid w:val="00C65218"/>
    <w:rsid w:val="00C95300"/>
    <w:rsid w:val="00C9751D"/>
    <w:rsid w:val="00CA5910"/>
    <w:rsid w:val="00CA7273"/>
    <w:rsid w:val="00CB32DF"/>
    <w:rsid w:val="00CB5F2D"/>
    <w:rsid w:val="00CB7E08"/>
    <w:rsid w:val="00CD0D7B"/>
    <w:rsid w:val="00CE444A"/>
    <w:rsid w:val="00CE7C97"/>
    <w:rsid w:val="00CF66E4"/>
    <w:rsid w:val="00D0471A"/>
    <w:rsid w:val="00D34AB6"/>
    <w:rsid w:val="00D350D6"/>
    <w:rsid w:val="00D378E3"/>
    <w:rsid w:val="00D4456B"/>
    <w:rsid w:val="00D469F5"/>
    <w:rsid w:val="00D46C0A"/>
    <w:rsid w:val="00D46CB6"/>
    <w:rsid w:val="00D4772A"/>
    <w:rsid w:val="00D60292"/>
    <w:rsid w:val="00D723ED"/>
    <w:rsid w:val="00D7559A"/>
    <w:rsid w:val="00D76E37"/>
    <w:rsid w:val="00D80CE7"/>
    <w:rsid w:val="00D93CFD"/>
    <w:rsid w:val="00D94668"/>
    <w:rsid w:val="00DB18A8"/>
    <w:rsid w:val="00DB3EEC"/>
    <w:rsid w:val="00DC11B5"/>
    <w:rsid w:val="00DC1A05"/>
    <w:rsid w:val="00DC7FC6"/>
    <w:rsid w:val="00DD0FC5"/>
    <w:rsid w:val="00DD155D"/>
    <w:rsid w:val="00DD50BD"/>
    <w:rsid w:val="00DD54CF"/>
    <w:rsid w:val="00DD655C"/>
    <w:rsid w:val="00DE2FDC"/>
    <w:rsid w:val="00DE4BA0"/>
    <w:rsid w:val="00E0425B"/>
    <w:rsid w:val="00E1066D"/>
    <w:rsid w:val="00E112E5"/>
    <w:rsid w:val="00E12557"/>
    <w:rsid w:val="00E356C9"/>
    <w:rsid w:val="00E50C16"/>
    <w:rsid w:val="00E53E17"/>
    <w:rsid w:val="00E55300"/>
    <w:rsid w:val="00E62955"/>
    <w:rsid w:val="00E704E9"/>
    <w:rsid w:val="00E70A26"/>
    <w:rsid w:val="00E7689C"/>
    <w:rsid w:val="00E82D98"/>
    <w:rsid w:val="00E85797"/>
    <w:rsid w:val="00E914F3"/>
    <w:rsid w:val="00E954A8"/>
    <w:rsid w:val="00E96083"/>
    <w:rsid w:val="00E9619C"/>
    <w:rsid w:val="00EA319A"/>
    <w:rsid w:val="00EA4BB9"/>
    <w:rsid w:val="00EB4EB5"/>
    <w:rsid w:val="00EC79B6"/>
    <w:rsid w:val="00EC7D51"/>
    <w:rsid w:val="00ED2F9C"/>
    <w:rsid w:val="00EE1EA9"/>
    <w:rsid w:val="00EE3B21"/>
    <w:rsid w:val="00EE4A74"/>
    <w:rsid w:val="00EE5ACF"/>
    <w:rsid w:val="00EE78A0"/>
    <w:rsid w:val="00EF3348"/>
    <w:rsid w:val="00F0243F"/>
    <w:rsid w:val="00F20B7A"/>
    <w:rsid w:val="00F22CEA"/>
    <w:rsid w:val="00F24371"/>
    <w:rsid w:val="00F274A4"/>
    <w:rsid w:val="00F32612"/>
    <w:rsid w:val="00F42946"/>
    <w:rsid w:val="00F45C23"/>
    <w:rsid w:val="00F53106"/>
    <w:rsid w:val="00F82E61"/>
    <w:rsid w:val="00F85933"/>
    <w:rsid w:val="00F91A45"/>
    <w:rsid w:val="00F92656"/>
    <w:rsid w:val="00FA179D"/>
    <w:rsid w:val="00FB605E"/>
    <w:rsid w:val="00FC5ABE"/>
    <w:rsid w:val="00FD0FBB"/>
    <w:rsid w:val="00FD1F32"/>
    <w:rsid w:val="00FE1458"/>
    <w:rsid w:val="00FE2FA3"/>
    <w:rsid w:val="00FF7E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7AE38D6"/>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4343F"/>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DC0"/>
    <w:pPr>
      <w:ind w:left="720"/>
      <w:contextualSpacing/>
    </w:pPr>
    <w:rPr>
      <w:rFonts w:asciiTheme="minorHAnsi" w:hAnsiTheme="minorHAnsi" w:cstheme="minorBidi"/>
      <w:lang w:val="en-GB"/>
    </w:rPr>
  </w:style>
  <w:style w:type="table" w:styleId="LightShading">
    <w:name w:val="Light Shading"/>
    <w:basedOn w:val="TableNormal"/>
    <w:uiPriority w:val="60"/>
    <w:rsid w:val="001919B2"/>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MDPI31text">
    <w:name w:val="MDPI_3.1_text"/>
    <w:qFormat/>
    <w:rsid w:val="00283337"/>
    <w:pPr>
      <w:adjustRightInd w:val="0"/>
      <w:snapToGrid w:val="0"/>
      <w:spacing w:line="260" w:lineRule="atLeast"/>
      <w:ind w:firstLine="425"/>
      <w:jc w:val="both"/>
    </w:pPr>
    <w:rPr>
      <w:rFonts w:ascii="Palatino Linotype" w:eastAsia="Times New Roman" w:hAnsi="Palatino Linotype" w:cs="Times New Roman"/>
      <w:snapToGrid w:val="0"/>
      <w:color w:val="000000"/>
      <w:sz w:val="20"/>
      <w:szCs w:val="22"/>
      <w:lang w:eastAsia="de-DE" w:bidi="en-US"/>
    </w:rPr>
  </w:style>
  <w:style w:type="paragraph" w:styleId="Header">
    <w:name w:val="header"/>
    <w:basedOn w:val="Normal"/>
    <w:link w:val="HeaderChar"/>
    <w:uiPriority w:val="99"/>
    <w:unhideWhenUsed/>
    <w:rsid w:val="007234DF"/>
    <w:pPr>
      <w:tabs>
        <w:tab w:val="center" w:pos="4320"/>
        <w:tab w:val="right" w:pos="8640"/>
      </w:tabs>
    </w:pPr>
    <w:rPr>
      <w:rFonts w:asciiTheme="minorHAnsi" w:hAnsiTheme="minorHAnsi" w:cstheme="minorBidi"/>
      <w:lang w:val="en-GB"/>
    </w:rPr>
  </w:style>
  <w:style w:type="character" w:customStyle="1" w:styleId="HeaderChar">
    <w:name w:val="Header Char"/>
    <w:basedOn w:val="DefaultParagraphFont"/>
    <w:link w:val="Header"/>
    <w:uiPriority w:val="99"/>
    <w:rsid w:val="007234DF"/>
    <w:rPr>
      <w:lang w:val="en-GB"/>
    </w:rPr>
  </w:style>
  <w:style w:type="paragraph" w:styleId="Footer">
    <w:name w:val="footer"/>
    <w:basedOn w:val="Normal"/>
    <w:link w:val="FooterChar"/>
    <w:uiPriority w:val="99"/>
    <w:unhideWhenUsed/>
    <w:rsid w:val="007234DF"/>
    <w:pPr>
      <w:tabs>
        <w:tab w:val="center" w:pos="4320"/>
        <w:tab w:val="right" w:pos="8640"/>
      </w:tabs>
    </w:pPr>
    <w:rPr>
      <w:rFonts w:asciiTheme="minorHAnsi" w:hAnsiTheme="minorHAnsi" w:cstheme="minorBidi"/>
      <w:lang w:val="en-GB"/>
    </w:rPr>
  </w:style>
  <w:style w:type="character" w:customStyle="1" w:styleId="FooterChar">
    <w:name w:val="Footer Char"/>
    <w:basedOn w:val="DefaultParagraphFont"/>
    <w:link w:val="Footer"/>
    <w:uiPriority w:val="99"/>
    <w:rsid w:val="007234DF"/>
    <w:rPr>
      <w:lang w:val="en-GB"/>
    </w:rPr>
  </w:style>
  <w:style w:type="paragraph" w:customStyle="1" w:styleId="MDPI43tablefooter">
    <w:name w:val="MDPI_4.3_table_footer"/>
    <w:basedOn w:val="Normal"/>
    <w:next w:val="MDPI31text"/>
    <w:qFormat/>
    <w:rsid w:val="00544B2A"/>
    <w:pPr>
      <w:adjustRightInd w:val="0"/>
      <w:snapToGrid w:val="0"/>
      <w:spacing w:after="120" w:line="260" w:lineRule="atLeast"/>
      <w:jc w:val="both"/>
    </w:pPr>
    <w:rPr>
      <w:rFonts w:ascii="Palatino Linotype" w:eastAsia="Times New Roman" w:hAnsi="Palatino Linotype"/>
      <w:color w:val="000000"/>
      <w:sz w:val="18"/>
      <w:szCs w:val="22"/>
      <w:lang w:eastAsia="de-DE" w:bidi="en-US"/>
    </w:rPr>
  </w:style>
  <w:style w:type="character" w:styleId="Hyperlink">
    <w:name w:val="Hyperlink"/>
    <w:basedOn w:val="DefaultParagraphFont"/>
    <w:uiPriority w:val="99"/>
    <w:unhideWhenUsed/>
    <w:rsid w:val="00EC79B6"/>
    <w:rPr>
      <w:color w:val="0000FF" w:themeColor="hyperlink"/>
      <w:u w:val="single"/>
    </w:rPr>
  </w:style>
  <w:style w:type="paragraph" w:customStyle="1" w:styleId="Body">
    <w:name w:val="Body"/>
    <w:basedOn w:val="Normal"/>
    <w:rsid w:val="00EC79B6"/>
    <w:pPr>
      <w:widowControl w:val="0"/>
      <w:jc w:val="both"/>
    </w:pPr>
    <w:rPr>
      <w:rFonts w:eastAsia="MS Mincho" w:cs="Angsana New"/>
      <w:kern w:val="2"/>
      <w:sz w:val="22"/>
      <w:szCs w:val="22"/>
      <w:lang w:eastAsia="ja-JP"/>
    </w:rPr>
  </w:style>
  <w:style w:type="character" w:styleId="PageNumber">
    <w:name w:val="page number"/>
    <w:basedOn w:val="DefaultParagraphFont"/>
    <w:uiPriority w:val="99"/>
    <w:semiHidden/>
    <w:unhideWhenUsed/>
    <w:rsid w:val="0010566F"/>
  </w:style>
  <w:style w:type="paragraph" w:customStyle="1" w:styleId="EndNoteBibliographyTitle">
    <w:name w:val="EndNote Bibliography Title"/>
    <w:basedOn w:val="Normal"/>
    <w:rsid w:val="0010566F"/>
    <w:pPr>
      <w:jc w:val="center"/>
    </w:pPr>
    <w:rPr>
      <w:rFonts w:ascii="Palatino Linotype" w:hAnsi="Palatino Linotype" w:cstheme="minorBidi"/>
      <w:sz w:val="20"/>
    </w:rPr>
  </w:style>
  <w:style w:type="paragraph" w:customStyle="1" w:styleId="EndNoteBibliography">
    <w:name w:val="EndNote Bibliography"/>
    <w:basedOn w:val="Normal"/>
    <w:rsid w:val="0010566F"/>
    <w:pPr>
      <w:jc w:val="both"/>
    </w:pPr>
    <w:rPr>
      <w:rFonts w:ascii="Palatino Linotype" w:hAnsi="Palatino Linotype" w:cstheme="minorBidi"/>
      <w:sz w:val="20"/>
    </w:rPr>
  </w:style>
  <w:style w:type="paragraph" w:styleId="NoSpacing">
    <w:name w:val="No Spacing"/>
    <w:aliases w:val="h2-thesis"/>
    <w:autoRedefine/>
    <w:uiPriority w:val="1"/>
    <w:qFormat/>
    <w:rsid w:val="00E96083"/>
    <w:pPr>
      <w:tabs>
        <w:tab w:val="left" w:pos="851"/>
      </w:tabs>
      <w:spacing w:after="57"/>
      <w:ind w:firstLine="170"/>
      <w:jc w:val="both"/>
      <w:outlineLvl w:val="0"/>
    </w:pPr>
    <w:rPr>
      <w:rFonts w:ascii="Times New Roman" w:hAnsi="Times New Roman"/>
      <w:bCs/>
      <w:sz w:val="22"/>
      <w:szCs w:val="22"/>
      <w:lang w:eastAsia="fr-BE" w:bidi="en-US"/>
    </w:rPr>
  </w:style>
  <w:style w:type="table" w:styleId="PlainTable2">
    <w:name w:val="Plain Table 2"/>
    <w:basedOn w:val="TableNormal"/>
    <w:uiPriority w:val="42"/>
    <w:rsid w:val="00897C49"/>
    <w:rPr>
      <w:rFonts w:eastAsiaTheme="minorHAnsi"/>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125257"/>
    <w:rPr>
      <w:color w:val="800080" w:themeColor="followedHyperlink"/>
      <w:u w:val="single"/>
    </w:rPr>
  </w:style>
  <w:style w:type="paragraph" w:styleId="HTMLPreformatted">
    <w:name w:val="HTML Preformatted"/>
    <w:basedOn w:val="Normal"/>
    <w:link w:val="HTMLPreformattedChar"/>
    <w:uiPriority w:val="99"/>
    <w:semiHidden/>
    <w:unhideWhenUsed/>
    <w:rsid w:val="001C62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1C62F8"/>
    <w:rPr>
      <w:rFonts w:ascii="Courier New" w:hAnsi="Courier New" w:cs="Courier New"/>
      <w:sz w:val="20"/>
      <w:szCs w:val="20"/>
    </w:rPr>
  </w:style>
  <w:style w:type="character" w:customStyle="1" w:styleId="y2iqfc">
    <w:name w:val="y2iqfc"/>
    <w:basedOn w:val="DefaultParagraphFont"/>
    <w:rsid w:val="001C62F8"/>
  </w:style>
  <w:style w:type="table" w:styleId="PlainTable3">
    <w:name w:val="Plain Table 3"/>
    <w:basedOn w:val="TableNormal"/>
    <w:uiPriority w:val="43"/>
    <w:rsid w:val="00F92656"/>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1335161">
      <w:bodyDiv w:val="1"/>
      <w:marLeft w:val="0"/>
      <w:marRight w:val="0"/>
      <w:marTop w:val="0"/>
      <w:marBottom w:val="0"/>
      <w:divBdr>
        <w:top w:val="none" w:sz="0" w:space="0" w:color="auto"/>
        <w:left w:val="none" w:sz="0" w:space="0" w:color="auto"/>
        <w:bottom w:val="none" w:sz="0" w:space="0" w:color="auto"/>
        <w:right w:val="none" w:sz="0" w:space="0" w:color="auto"/>
      </w:divBdr>
    </w:div>
    <w:div w:id="812917009">
      <w:bodyDiv w:val="1"/>
      <w:marLeft w:val="0"/>
      <w:marRight w:val="0"/>
      <w:marTop w:val="0"/>
      <w:marBottom w:val="0"/>
      <w:divBdr>
        <w:top w:val="none" w:sz="0" w:space="0" w:color="auto"/>
        <w:left w:val="none" w:sz="0" w:space="0" w:color="auto"/>
        <w:bottom w:val="none" w:sz="0" w:space="0" w:color="auto"/>
        <w:right w:val="none" w:sz="0" w:space="0" w:color="auto"/>
      </w:divBdr>
    </w:div>
    <w:div w:id="952596519">
      <w:bodyDiv w:val="1"/>
      <w:marLeft w:val="0"/>
      <w:marRight w:val="0"/>
      <w:marTop w:val="0"/>
      <w:marBottom w:val="0"/>
      <w:divBdr>
        <w:top w:val="none" w:sz="0" w:space="0" w:color="auto"/>
        <w:left w:val="none" w:sz="0" w:space="0" w:color="auto"/>
        <w:bottom w:val="none" w:sz="0" w:space="0" w:color="auto"/>
        <w:right w:val="none" w:sz="0" w:space="0" w:color="auto"/>
      </w:divBdr>
    </w:div>
    <w:div w:id="1286698265">
      <w:bodyDiv w:val="1"/>
      <w:marLeft w:val="0"/>
      <w:marRight w:val="0"/>
      <w:marTop w:val="0"/>
      <w:marBottom w:val="0"/>
      <w:divBdr>
        <w:top w:val="none" w:sz="0" w:space="0" w:color="auto"/>
        <w:left w:val="none" w:sz="0" w:space="0" w:color="auto"/>
        <w:bottom w:val="none" w:sz="0" w:space="0" w:color="auto"/>
        <w:right w:val="none" w:sz="0" w:space="0" w:color="auto"/>
      </w:divBdr>
    </w:div>
    <w:div w:id="1295716343">
      <w:bodyDiv w:val="1"/>
      <w:marLeft w:val="0"/>
      <w:marRight w:val="0"/>
      <w:marTop w:val="0"/>
      <w:marBottom w:val="0"/>
      <w:divBdr>
        <w:top w:val="none" w:sz="0" w:space="0" w:color="auto"/>
        <w:left w:val="none" w:sz="0" w:space="0" w:color="auto"/>
        <w:bottom w:val="none" w:sz="0" w:space="0" w:color="auto"/>
        <w:right w:val="none" w:sz="0" w:space="0" w:color="auto"/>
      </w:divBdr>
    </w:div>
    <w:div w:id="1311131673">
      <w:bodyDiv w:val="1"/>
      <w:marLeft w:val="0"/>
      <w:marRight w:val="0"/>
      <w:marTop w:val="0"/>
      <w:marBottom w:val="0"/>
      <w:divBdr>
        <w:top w:val="none" w:sz="0" w:space="0" w:color="auto"/>
        <w:left w:val="none" w:sz="0" w:space="0" w:color="auto"/>
        <w:bottom w:val="none" w:sz="0" w:space="0" w:color="auto"/>
        <w:right w:val="none" w:sz="0" w:space="0" w:color="auto"/>
      </w:divBdr>
    </w:div>
    <w:div w:id="1633053718">
      <w:bodyDiv w:val="1"/>
      <w:marLeft w:val="0"/>
      <w:marRight w:val="0"/>
      <w:marTop w:val="0"/>
      <w:marBottom w:val="0"/>
      <w:divBdr>
        <w:top w:val="none" w:sz="0" w:space="0" w:color="auto"/>
        <w:left w:val="none" w:sz="0" w:space="0" w:color="auto"/>
        <w:bottom w:val="none" w:sz="0" w:space="0" w:color="auto"/>
        <w:right w:val="none" w:sz="0" w:space="0" w:color="auto"/>
      </w:divBdr>
    </w:div>
    <w:div w:id="1715688494">
      <w:bodyDiv w:val="1"/>
      <w:marLeft w:val="0"/>
      <w:marRight w:val="0"/>
      <w:marTop w:val="0"/>
      <w:marBottom w:val="0"/>
      <w:divBdr>
        <w:top w:val="none" w:sz="0" w:space="0" w:color="auto"/>
        <w:left w:val="none" w:sz="0" w:space="0" w:color="auto"/>
        <w:bottom w:val="none" w:sz="0" w:space="0" w:color="auto"/>
        <w:right w:val="none" w:sz="0" w:space="0" w:color="auto"/>
      </w:divBdr>
    </w:div>
    <w:div w:id="1800030459">
      <w:bodyDiv w:val="1"/>
      <w:marLeft w:val="0"/>
      <w:marRight w:val="0"/>
      <w:marTop w:val="0"/>
      <w:marBottom w:val="0"/>
      <w:divBdr>
        <w:top w:val="none" w:sz="0" w:space="0" w:color="auto"/>
        <w:left w:val="none" w:sz="0" w:space="0" w:color="auto"/>
        <w:bottom w:val="none" w:sz="0" w:space="0" w:color="auto"/>
        <w:right w:val="none" w:sz="0" w:space="0" w:color="auto"/>
      </w:divBdr>
    </w:div>
    <w:div w:id="2026515110">
      <w:bodyDiv w:val="1"/>
      <w:marLeft w:val="0"/>
      <w:marRight w:val="0"/>
      <w:marTop w:val="0"/>
      <w:marBottom w:val="0"/>
      <w:divBdr>
        <w:top w:val="none" w:sz="0" w:space="0" w:color="auto"/>
        <w:left w:val="none" w:sz="0" w:space="0" w:color="auto"/>
        <w:bottom w:val="none" w:sz="0" w:space="0" w:color="auto"/>
        <w:right w:val="none" w:sz="0" w:space="0" w:color="auto"/>
      </w:divBdr>
    </w:div>
    <w:div w:id="206786951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doi.org/10.1016/S0304-3878(99)00038-3" TargetMode="External"/><Relationship Id="rId12" Type="http://schemas.openxmlformats.org/officeDocument/2006/relationships/hyperlink" Target="https://doi.org/10.1016/j.worlddev.2008.08.005" TargetMode="External"/><Relationship Id="rId13" Type="http://schemas.openxmlformats.org/officeDocument/2006/relationships/hyperlink" Target="https://doi.org/10.1016/j.asieco.2011.01.004" TargetMode="External"/><Relationship Id="rId14" Type="http://schemas.openxmlformats.org/officeDocument/2006/relationships/hyperlink" Target="https://doi.org/10.1016/j.jrurstud.2016.08.001" TargetMode="Externa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hyperlink" Target="https://doi.org/10.1016/S0305-750X(01)00112-7" TargetMode="External"/><Relationship Id="rId10" Type="http://schemas.openxmlformats.org/officeDocument/2006/relationships/hyperlink" Target="https://doi.org/10.1016/j.foodpol.2004.07.0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C344BD-2393-CB41-8366-CE283592A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20</Pages>
  <Words>4504</Words>
  <Characters>25679</Characters>
  <Application>Microsoft Macintosh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Air</dc:creator>
  <cp:keywords/>
  <dc:description/>
  <cp:lastModifiedBy>Ta Nhat Linh</cp:lastModifiedBy>
  <cp:revision>17</cp:revision>
  <dcterms:created xsi:type="dcterms:W3CDTF">2025-07-14T00:17:00Z</dcterms:created>
  <dcterms:modified xsi:type="dcterms:W3CDTF">2025-07-14T16:56:00Z</dcterms:modified>
</cp:coreProperties>
</file>