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98A4A" w14:textId="32353EF8" w:rsidR="00652A02" w:rsidRPr="00652A02" w:rsidRDefault="00652A02" w:rsidP="00B642FA">
      <w:pPr>
        <w:jc w:val="center"/>
        <w:rPr>
          <w:b/>
          <w:bCs/>
        </w:rPr>
      </w:pPr>
      <w:r w:rsidRPr="00652A02">
        <w:rPr>
          <w:b/>
          <w:bCs/>
        </w:rPr>
        <w:t>BẢN GÓP Ý</w:t>
      </w:r>
    </w:p>
    <w:p w14:paraId="7C7B01B6" w14:textId="41663A80" w:rsidR="00652A02" w:rsidRPr="00652A02" w:rsidRDefault="00652A02" w:rsidP="00B642FA">
      <w:pPr>
        <w:jc w:val="center"/>
      </w:pPr>
      <w:r w:rsidRPr="00652A02">
        <w:rPr>
          <w:b/>
          <w:bCs/>
        </w:rPr>
        <w:t xml:space="preserve">Dự thảo Chương trình </w:t>
      </w:r>
      <w:r w:rsidR="00B642FA">
        <w:rPr>
          <w:b/>
          <w:bCs/>
        </w:rPr>
        <w:t>h</w:t>
      </w:r>
      <w:r w:rsidRPr="00652A02">
        <w:rPr>
          <w:b/>
          <w:bCs/>
        </w:rPr>
        <w:t xml:space="preserve">ành động </w:t>
      </w:r>
      <w:r w:rsidR="00B642FA">
        <w:rPr>
          <w:b/>
          <w:bCs/>
        </w:rPr>
        <w:t>q</w:t>
      </w:r>
      <w:r w:rsidRPr="00652A02">
        <w:rPr>
          <w:b/>
          <w:bCs/>
        </w:rPr>
        <w:t xml:space="preserve">uốc gia </w:t>
      </w:r>
      <w:r w:rsidR="00B642FA">
        <w:rPr>
          <w:b/>
          <w:bCs/>
        </w:rPr>
        <w:t>c</w:t>
      </w:r>
      <w:r w:rsidRPr="00652A02">
        <w:rPr>
          <w:b/>
          <w:bCs/>
        </w:rPr>
        <w:t xml:space="preserve">hống </w:t>
      </w:r>
      <w:r w:rsidR="00B642FA">
        <w:rPr>
          <w:b/>
          <w:bCs/>
        </w:rPr>
        <w:t>s</w:t>
      </w:r>
      <w:r w:rsidRPr="00652A02">
        <w:rPr>
          <w:b/>
          <w:bCs/>
        </w:rPr>
        <w:t xml:space="preserve">a </w:t>
      </w:r>
      <w:r w:rsidR="00B642FA">
        <w:rPr>
          <w:b/>
          <w:bCs/>
        </w:rPr>
        <w:t>m</w:t>
      </w:r>
      <w:r w:rsidRPr="00652A02">
        <w:rPr>
          <w:b/>
          <w:bCs/>
        </w:rPr>
        <w:t xml:space="preserve">ạc </w:t>
      </w:r>
      <w:r w:rsidR="00B642FA">
        <w:rPr>
          <w:b/>
          <w:bCs/>
        </w:rPr>
        <w:t>h</w:t>
      </w:r>
      <w:r w:rsidRPr="00652A02">
        <w:rPr>
          <w:b/>
          <w:bCs/>
        </w:rPr>
        <w:t xml:space="preserve">óa </w:t>
      </w:r>
      <w:r w:rsidR="00B642FA">
        <w:rPr>
          <w:b/>
          <w:bCs/>
        </w:rPr>
        <w:t>g</w:t>
      </w:r>
      <w:r w:rsidRPr="00652A02">
        <w:rPr>
          <w:b/>
          <w:bCs/>
        </w:rPr>
        <w:t xml:space="preserve">iai đoạn đến năm 2030 và </w:t>
      </w:r>
      <w:r w:rsidR="00B642FA">
        <w:rPr>
          <w:b/>
          <w:bCs/>
        </w:rPr>
        <w:t>t</w:t>
      </w:r>
      <w:r w:rsidRPr="00652A02">
        <w:rPr>
          <w:b/>
          <w:bCs/>
        </w:rPr>
        <w:t>ầm nhìn đến năm 2050</w:t>
      </w:r>
    </w:p>
    <w:p w14:paraId="639B3BED" w14:textId="77777777" w:rsidR="00B642FA" w:rsidRDefault="00B642FA" w:rsidP="00652A02"/>
    <w:p w14:paraId="2A799000" w14:textId="3FBD7E18" w:rsidR="00B642FA" w:rsidRPr="000D5E39" w:rsidRDefault="00B642FA" w:rsidP="00652A02">
      <w:pPr>
        <w:rPr>
          <w:b/>
          <w:bCs/>
        </w:rPr>
      </w:pPr>
      <w:r w:rsidRPr="000D5E39">
        <w:rPr>
          <w:b/>
          <w:bCs/>
        </w:rPr>
        <w:t>Đơn vị góp ý: Bộ môn Kỹ thuật tài nguyên nước</w:t>
      </w:r>
    </w:p>
    <w:p w14:paraId="7E23375D" w14:textId="77777777" w:rsidR="00B642FA" w:rsidRDefault="00B642FA" w:rsidP="00652A02">
      <w:pPr>
        <w:rPr>
          <w:b/>
          <w:bCs/>
        </w:rPr>
      </w:pPr>
    </w:p>
    <w:p w14:paraId="3BDFF006" w14:textId="58CC143C" w:rsidR="00652A02" w:rsidRPr="00652A02" w:rsidRDefault="00652A02" w:rsidP="00B47198">
      <w:pPr>
        <w:ind w:firstLine="720"/>
      </w:pPr>
      <w:r w:rsidRPr="00652A02">
        <w:t xml:space="preserve">Sau khi nghiên cứu Dự thảo </w:t>
      </w:r>
      <w:r w:rsidR="00B642FA" w:rsidRPr="00B642FA">
        <w:t>Chương trình hành động quốc gia chống sa mạc hóa giai đoạn đến năm 2030 và tầm nhìn đến năm 2050</w:t>
      </w:r>
      <w:r w:rsidRPr="00652A02">
        <w:t>, chúng tôi xin đóng góp ý kiến như sau:</w:t>
      </w:r>
    </w:p>
    <w:p w14:paraId="1907E30F" w14:textId="77777777" w:rsidR="00652A02" w:rsidRPr="00652A02" w:rsidRDefault="00652A02" w:rsidP="00652A02">
      <w:pPr>
        <w:rPr>
          <w:b/>
          <w:bCs/>
        </w:rPr>
      </w:pPr>
      <w:r w:rsidRPr="00652A02">
        <w:rPr>
          <w:b/>
          <w:bCs/>
        </w:rPr>
        <w:t>1. Đánh giá chung</w:t>
      </w:r>
    </w:p>
    <w:p w14:paraId="3F5B426E" w14:textId="77777777" w:rsidR="00454A6C" w:rsidRPr="00454A6C" w:rsidRDefault="00454A6C" w:rsidP="00454A6C">
      <w:pPr>
        <w:ind w:firstLine="720"/>
      </w:pPr>
      <w:r w:rsidRPr="00454A6C">
        <w:t>Dự thảo cơ bản hoàn chỉnh, thể hiện nhiều ưu điểm:</w:t>
      </w:r>
    </w:p>
    <w:p w14:paraId="4422890D" w14:textId="77777777" w:rsidR="00BE1714" w:rsidRPr="00454A6C" w:rsidRDefault="00BE1714" w:rsidP="00454A6C">
      <w:pPr>
        <w:ind w:firstLine="720"/>
        <w:rPr>
          <w:b/>
          <w:bCs/>
        </w:rPr>
      </w:pPr>
      <w:r w:rsidRPr="00BE1714">
        <w:t>- Bám sát cam kết quốc tế: Dự thảo được xây dựng phù hợp với Công ước chống sa mạc hóa của Liên hợp quốc (UNCCD), gắn với Mục tiêu phát triển bền vững (SDG 15.3 – cân bằng suy thoái đất), đồng thời kế thừa khung chiến lược UNCCD 2018–2030. Đây là cơ sở quan trọng để Việt Nam thực hiện đầy đủ nghĩa vụ quốc tế.</w:t>
      </w:r>
    </w:p>
    <w:p w14:paraId="6D1E78D8" w14:textId="77777777" w:rsidR="00BE1714" w:rsidRPr="00BE1714" w:rsidRDefault="00BE1714" w:rsidP="00BE1714">
      <w:pPr>
        <w:ind w:firstLine="720"/>
      </w:pPr>
      <w:r w:rsidRPr="00BE1714">
        <w:t>- Cơ sở pháp lý đầy đủ: Văn bản dẫn chiếu các nghị quyết, chiến lược và quyết định quan trọng của Quốc hội, Chính phủ về quản lý đất đai, ứng phó biến đổi khí hậu, phát triển nông nghiệp – nông thôn bền vững.</w:t>
      </w:r>
    </w:p>
    <w:p w14:paraId="17141E34" w14:textId="7BC929C7" w:rsidR="00BE1714" w:rsidRPr="00BE1714" w:rsidRDefault="00BE1714" w:rsidP="00BE1714">
      <w:pPr>
        <w:ind w:firstLine="720"/>
      </w:pPr>
      <w:r w:rsidRPr="00BE1714">
        <w:t>- Mục tiêu rõ ràng: Đến năm 2030, khoanh vùng nguy cơ sa mạc hóa, ổn định 3,5 triệu ha đất lúa, duy trì độ che phủ rừng 42%. Đến năm 2050, giảm diện tích đất thoái hóa xuống dưới 30% diện tích tự nhiên, nâng thu nhập của người dân vùng bị ảnh hưởng lên ít nhất 50% so với mức bình quân quốc gia.</w:t>
      </w:r>
    </w:p>
    <w:p w14:paraId="68E5DDBC" w14:textId="77777777" w:rsidR="00BE1714" w:rsidRPr="00BE1714" w:rsidRDefault="00BE1714" w:rsidP="00BE1714">
      <w:pPr>
        <w:ind w:firstLine="720"/>
      </w:pPr>
      <w:r w:rsidRPr="00BE1714">
        <w:t>- Cách tiếp cận theo vùng: Ưu tiên các vùng trọng điểm (Trung du miền núi phía Bắc, Bắc Trung Bộ – Duyên hải miền Trung, Tây Nguyên, Đồng bằng sông Hồng, Đông Nam Bộ, Đồng bằng sông Cửu Long), phù hợp với đặc thù địa lý và nguyên nhân thoái hóa đất.</w:t>
      </w:r>
    </w:p>
    <w:p w14:paraId="235A7E64" w14:textId="77777777" w:rsidR="00BE1714" w:rsidRPr="00BE1714" w:rsidRDefault="00BE1714" w:rsidP="00BE1714">
      <w:pPr>
        <w:ind w:firstLine="720"/>
      </w:pPr>
      <w:r w:rsidRPr="00BE1714">
        <w:t>- Tính kế thừa và lồng ghép đa ngành: Chương trình phát huy kết quả giai đoạn 2006–2020, đồng thời lồng ghép quản lý đất – rừng – nước, phòng chống thiên tai và phát triển sinh kế cộng đồng.</w:t>
      </w:r>
    </w:p>
    <w:p w14:paraId="23DCCFB5" w14:textId="24CE1FEC" w:rsidR="00BE1714" w:rsidRPr="00BE1714" w:rsidRDefault="00BE1714" w:rsidP="00BE1714">
      <w:pPr>
        <w:ind w:firstLine="720"/>
      </w:pPr>
      <w:r w:rsidRPr="00BE1714">
        <w:t>- Mở rộng hợp tác quốc tế: Nhấn mạnh huy động vốn, công nghệ, kinh nghiệm từ các tổ chức quốc tế, gắn với sáng kiến toàn cầu về phục hồi hệ sinh thái.</w:t>
      </w:r>
    </w:p>
    <w:p w14:paraId="0EB083F1" w14:textId="77777777" w:rsidR="00652A02" w:rsidRPr="00652A02" w:rsidRDefault="00652A02" w:rsidP="00652A02">
      <w:pPr>
        <w:rPr>
          <w:b/>
          <w:bCs/>
        </w:rPr>
      </w:pPr>
      <w:r w:rsidRPr="00652A02">
        <w:rPr>
          <w:b/>
          <w:bCs/>
        </w:rPr>
        <w:t>2. Một số hạn chế và bất cập</w:t>
      </w:r>
    </w:p>
    <w:p w14:paraId="51E3D1EF" w14:textId="08FB7869" w:rsidR="00422421" w:rsidRPr="00B47198" w:rsidRDefault="00B47198" w:rsidP="00422421">
      <w:pPr>
        <w:ind w:firstLine="720"/>
      </w:pPr>
      <w:r>
        <w:t xml:space="preserve">- </w:t>
      </w:r>
      <w:r w:rsidR="00652A02" w:rsidRPr="00B47198">
        <w:t xml:space="preserve">Cơ chế tài chính chưa rõ ràng: Giai đoạn 2006–2020, 27 dự án ưu tiên không được cấp vốn trực tiếp do phụ thuộc vào lồng ghép (theo Báo cáo kết quả). Dự thảo mới </w:t>
      </w:r>
      <w:r w:rsidR="00652A02" w:rsidRPr="00B47198">
        <w:lastRenderedPageBreak/>
        <w:t>chưa nêu rõ tỷ lệ phân bổ vốn, tiêu chí ưu tiên đầu tư, hoặc cơ chế huy động từ các nguồn ngoài ngân sách.</w:t>
      </w:r>
    </w:p>
    <w:p w14:paraId="19D1D870" w14:textId="77777777" w:rsidR="00422421" w:rsidRPr="00B47198" w:rsidRDefault="00422421" w:rsidP="00422421">
      <w:pPr>
        <w:ind w:firstLine="720"/>
      </w:pPr>
      <w:r w:rsidRPr="00B47198">
        <w:t xml:space="preserve">- </w:t>
      </w:r>
      <w:r w:rsidR="00652A02" w:rsidRPr="00B47198">
        <w:t>Khung giám sát – đánh giá (M&amp;E) chưa đầy đủ: Dự thảo chưa xây dựng bộ chỉ số KPI hoặc cơ chế báo cáo công khai để theo dõi tiến độ và đánh giá hiệu quả.</w:t>
      </w:r>
    </w:p>
    <w:p w14:paraId="700C7FFC" w14:textId="77777777" w:rsidR="008373E5" w:rsidRPr="008373E5" w:rsidRDefault="00D34CA3" w:rsidP="00D34CA3">
      <w:pPr>
        <w:ind w:firstLine="720"/>
      </w:pPr>
      <w:r w:rsidRPr="008373E5">
        <w:t xml:space="preserve">- </w:t>
      </w:r>
      <w:r w:rsidRPr="00D34CA3">
        <w:t>Phân công trách nhiệm chưa cụ thể: Vai trò của các bộ và địa phương hiện mới mang tính định hướng, chưa xây dựng cơ chế phối hợp liên ngành rõ ràng, đặc biệt đối với các dự án đa lĩnh vực.</w:t>
      </w:r>
    </w:p>
    <w:p w14:paraId="2CE4F191" w14:textId="77777777" w:rsidR="00910A97" w:rsidRPr="00910A97" w:rsidRDefault="00133FA2" w:rsidP="00910A97">
      <w:pPr>
        <w:ind w:firstLine="720"/>
      </w:pPr>
      <w:r w:rsidRPr="00910A97">
        <w:t xml:space="preserve">- </w:t>
      </w:r>
      <w:r w:rsidR="00652A02" w:rsidRPr="00910A97">
        <w:t>Giải pháp công nghệ còn hạn chế: Dù đề cập đến canh tác thông minh và nông nghiệp tuần hoàn, dự thảo chưa nhấn mạnh ứng dụng viễn thám, GIS, IoT, hoặc AI trong giám sát đất, rừng, và dự báo hạn hán, dù FORMIS/FRMS đã được áp dụng trong lâm nghiệp.</w:t>
      </w:r>
    </w:p>
    <w:p w14:paraId="1D5E2B24" w14:textId="29DE5E97" w:rsidR="00652A02" w:rsidRDefault="00910A97" w:rsidP="00910A97">
      <w:pPr>
        <w:ind w:firstLine="720"/>
      </w:pPr>
      <w:r w:rsidRPr="00910A97">
        <w:t xml:space="preserve">- </w:t>
      </w:r>
      <w:r w:rsidR="00652A02" w:rsidRPr="00910A97">
        <w:t>Rủi ro thực thi chưa được đề cập: Các thách thức như xung đột đất đai (Tây Nguyên) hoặc di cư do xâm nhập mặn (Đồng bằng sông Cửu Long) chưa được dự thảo làm rõ, có thể ảnh hưởng đến hiệu quả triển khai.</w:t>
      </w:r>
    </w:p>
    <w:p w14:paraId="6C93AC7C" w14:textId="77777777" w:rsidR="008373E5" w:rsidRPr="00D34CA3" w:rsidRDefault="008373E5" w:rsidP="008373E5">
      <w:pPr>
        <w:ind w:firstLine="720"/>
      </w:pPr>
      <w:r>
        <w:t xml:space="preserve">- </w:t>
      </w:r>
      <w:r w:rsidRPr="00D34CA3">
        <w:t>Bộ Tài nguyên và Môi trường đã được sáp nhập với Bộ Nông nghiệp và Phát triển nông thôn thành Bộ Nông nghiệp và Môi trường. Tuy nhiên, trong mục 2.7 “Tổ chức thực hiện” của Thuyết minh đề xuất Chương trình hành động quốc gia chống sa mạc hóa giai đoạn đến năm 2030, tầm nhìn đến năm 2050, vẫn đề cập đồng thời cả Bộ Nông nghiệp và Môi trường và Bộ Tài nguyên và Môi trường, gây thiếu thống nhất.</w:t>
      </w:r>
    </w:p>
    <w:p w14:paraId="30F3D02C" w14:textId="06B85A4B" w:rsidR="00652A02" w:rsidRPr="00652A02" w:rsidRDefault="00B47198" w:rsidP="00652A02">
      <w:pPr>
        <w:rPr>
          <w:b/>
          <w:bCs/>
        </w:rPr>
      </w:pPr>
      <w:r>
        <w:rPr>
          <w:b/>
          <w:bCs/>
        </w:rPr>
        <w:t>3</w:t>
      </w:r>
      <w:r w:rsidR="00652A02" w:rsidRPr="00652A02">
        <w:rPr>
          <w:b/>
          <w:bCs/>
        </w:rPr>
        <w:t>. Kết luận</w:t>
      </w:r>
    </w:p>
    <w:p w14:paraId="5792D6AE" w14:textId="77777777" w:rsidR="00B47198" w:rsidRDefault="00652A02" w:rsidP="00B47198">
      <w:pPr>
        <w:ind w:firstLine="720"/>
      </w:pPr>
      <w:r w:rsidRPr="00652A02">
        <w:t xml:space="preserve">Dự thảo Chương trình có định hướng chiến lược rõ ràng, phù hợp với cam kết quốc tế và bối cảnh Việt Nam. Tuy nhiên, để đảm bảo tính khả thi và hiệu quả, cần </w:t>
      </w:r>
      <w:r w:rsidR="00B47198">
        <w:t xml:space="preserve">xem xét </w:t>
      </w:r>
      <w:r w:rsidRPr="00652A02">
        <w:t xml:space="preserve">bổ sung </w:t>
      </w:r>
      <w:r w:rsidR="00B47198">
        <w:t>các nội dung để khắc phục các hạn chế nêu trên.</w:t>
      </w:r>
    </w:p>
    <w:p w14:paraId="5C99FCAB" w14:textId="77777777" w:rsidR="00E5736E" w:rsidRDefault="00E5736E" w:rsidP="00E5736E"/>
    <w:sectPr w:rsidR="00E5736E" w:rsidSect="00684FD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B37"/>
    <w:multiLevelType w:val="multilevel"/>
    <w:tmpl w:val="BF46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9686B"/>
    <w:multiLevelType w:val="multilevel"/>
    <w:tmpl w:val="1A9C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46B2A"/>
    <w:multiLevelType w:val="multilevel"/>
    <w:tmpl w:val="F8E8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33C81"/>
    <w:multiLevelType w:val="multilevel"/>
    <w:tmpl w:val="9CEE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F66C5"/>
    <w:multiLevelType w:val="multilevel"/>
    <w:tmpl w:val="A61C2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C3A18"/>
    <w:multiLevelType w:val="multilevel"/>
    <w:tmpl w:val="D150A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D55707"/>
    <w:multiLevelType w:val="multilevel"/>
    <w:tmpl w:val="EC5C4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8E7F31"/>
    <w:multiLevelType w:val="multilevel"/>
    <w:tmpl w:val="7F1A73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B66A73"/>
    <w:multiLevelType w:val="multilevel"/>
    <w:tmpl w:val="28882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6E7BF8"/>
    <w:multiLevelType w:val="multilevel"/>
    <w:tmpl w:val="3AFE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BE4B6B"/>
    <w:multiLevelType w:val="multilevel"/>
    <w:tmpl w:val="18C6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1E10EA"/>
    <w:multiLevelType w:val="multilevel"/>
    <w:tmpl w:val="081C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80012C"/>
    <w:multiLevelType w:val="multilevel"/>
    <w:tmpl w:val="2B1E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2F2DA2"/>
    <w:multiLevelType w:val="multilevel"/>
    <w:tmpl w:val="9E280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F90AF1"/>
    <w:multiLevelType w:val="multilevel"/>
    <w:tmpl w:val="C1E4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774177"/>
    <w:multiLevelType w:val="multilevel"/>
    <w:tmpl w:val="56846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5905DE"/>
    <w:multiLevelType w:val="multilevel"/>
    <w:tmpl w:val="AB16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746949">
    <w:abstractNumId w:val="0"/>
  </w:num>
  <w:num w:numId="2" w16cid:durableId="1997611120">
    <w:abstractNumId w:val="14"/>
  </w:num>
  <w:num w:numId="3" w16cid:durableId="1505972102">
    <w:abstractNumId w:val="5"/>
  </w:num>
  <w:num w:numId="4" w16cid:durableId="772554741">
    <w:abstractNumId w:val="12"/>
  </w:num>
  <w:num w:numId="5" w16cid:durableId="425031270">
    <w:abstractNumId w:val="10"/>
  </w:num>
  <w:num w:numId="6" w16cid:durableId="1961183831">
    <w:abstractNumId w:val="13"/>
  </w:num>
  <w:num w:numId="7" w16cid:durableId="378625887">
    <w:abstractNumId w:val="9"/>
  </w:num>
  <w:num w:numId="8" w16cid:durableId="144248886">
    <w:abstractNumId w:val="3"/>
  </w:num>
  <w:num w:numId="9" w16cid:durableId="1067846729">
    <w:abstractNumId w:val="6"/>
  </w:num>
  <w:num w:numId="10" w16cid:durableId="438178811">
    <w:abstractNumId w:val="4"/>
  </w:num>
  <w:num w:numId="11" w16cid:durableId="1688367813">
    <w:abstractNumId w:val="8"/>
  </w:num>
  <w:num w:numId="12" w16cid:durableId="150030367">
    <w:abstractNumId w:val="7"/>
  </w:num>
  <w:num w:numId="13" w16cid:durableId="1943412356">
    <w:abstractNumId w:val="1"/>
  </w:num>
  <w:num w:numId="14" w16cid:durableId="785806019">
    <w:abstractNumId w:val="11"/>
  </w:num>
  <w:num w:numId="15" w16cid:durableId="1713536533">
    <w:abstractNumId w:val="15"/>
  </w:num>
  <w:num w:numId="16" w16cid:durableId="1253196054">
    <w:abstractNumId w:val="2"/>
  </w:num>
  <w:num w:numId="17" w16cid:durableId="12711582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FE"/>
    <w:rsid w:val="000B0559"/>
    <w:rsid w:val="000B5FAC"/>
    <w:rsid w:val="000D5E39"/>
    <w:rsid w:val="00123BB2"/>
    <w:rsid w:val="00124E0D"/>
    <w:rsid w:val="00133FA2"/>
    <w:rsid w:val="0013594D"/>
    <w:rsid w:val="002D44E1"/>
    <w:rsid w:val="003338A9"/>
    <w:rsid w:val="003B4BB4"/>
    <w:rsid w:val="003D42D1"/>
    <w:rsid w:val="00422421"/>
    <w:rsid w:val="00454A6C"/>
    <w:rsid w:val="00526E1F"/>
    <w:rsid w:val="00535CC2"/>
    <w:rsid w:val="00584B22"/>
    <w:rsid w:val="00652A02"/>
    <w:rsid w:val="00684FD8"/>
    <w:rsid w:val="006D3925"/>
    <w:rsid w:val="00835A9C"/>
    <w:rsid w:val="008373E5"/>
    <w:rsid w:val="00886AA2"/>
    <w:rsid w:val="00910A97"/>
    <w:rsid w:val="00952F3A"/>
    <w:rsid w:val="00991195"/>
    <w:rsid w:val="009916D2"/>
    <w:rsid w:val="009E7A1E"/>
    <w:rsid w:val="00A13458"/>
    <w:rsid w:val="00A33DB4"/>
    <w:rsid w:val="00AB30C9"/>
    <w:rsid w:val="00AE34FE"/>
    <w:rsid w:val="00B3685B"/>
    <w:rsid w:val="00B47198"/>
    <w:rsid w:val="00B642FA"/>
    <w:rsid w:val="00BE1714"/>
    <w:rsid w:val="00C11BAF"/>
    <w:rsid w:val="00C731AC"/>
    <w:rsid w:val="00C75126"/>
    <w:rsid w:val="00C91451"/>
    <w:rsid w:val="00D015D4"/>
    <w:rsid w:val="00D27EC9"/>
    <w:rsid w:val="00D34CA3"/>
    <w:rsid w:val="00DD4CB0"/>
    <w:rsid w:val="00E5736E"/>
    <w:rsid w:val="00F62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4474"/>
  <w15:chartTrackingRefBased/>
  <w15:docId w15:val="{E4880EB5-525E-48E8-9E73-53C83FAE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6"/>
        <w:szCs w:val="22"/>
        <w:lang w:val="en-US" w:eastAsia="zh-CN" w:bidi="ar-SA"/>
      </w:rPr>
    </w:rPrDefault>
    <w:pPrDefault>
      <w:pPr>
        <w:spacing w:before="120" w:after="12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4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34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34F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34F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34F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E34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34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34FE"/>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34FE"/>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4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34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34F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34F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E34F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E34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34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34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34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34FE"/>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4F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4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34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34FE"/>
    <w:rPr>
      <w:i/>
      <w:iCs/>
      <w:color w:val="404040" w:themeColor="text1" w:themeTint="BF"/>
    </w:rPr>
  </w:style>
  <w:style w:type="paragraph" w:styleId="ListParagraph">
    <w:name w:val="List Paragraph"/>
    <w:basedOn w:val="Normal"/>
    <w:uiPriority w:val="34"/>
    <w:qFormat/>
    <w:rsid w:val="00AE34FE"/>
    <w:pPr>
      <w:ind w:left="720"/>
      <w:contextualSpacing/>
    </w:pPr>
  </w:style>
  <w:style w:type="character" w:styleId="IntenseEmphasis">
    <w:name w:val="Intense Emphasis"/>
    <w:basedOn w:val="DefaultParagraphFont"/>
    <w:uiPriority w:val="21"/>
    <w:qFormat/>
    <w:rsid w:val="00AE34FE"/>
    <w:rPr>
      <w:i/>
      <w:iCs/>
      <w:color w:val="2F5496" w:themeColor="accent1" w:themeShade="BF"/>
    </w:rPr>
  </w:style>
  <w:style w:type="paragraph" w:styleId="IntenseQuote">
    <w:name w:val="Intense Quote"/>
    <w:basedOn w:val="Normal"/>
    <w:next w:val="Normal"/>
    <w:link w:val="IntenseQuoteChar"/>
    <w:uiPriority w:val="30"/>
    <w:qFormat/>
    <w:rsid w:val="00AE34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34FE"/>
    <w:rPr>
      <w:i/>
      <w:iCs/>
      <w:color w:val="2F5496" w:themeColor="accent1" w:themeShade="BF"/>
    </w:rPr>
  </w:style>
  <w:style w:type="character" w:styleId="IntenseReference">
    <w:name w:val="Intense Reference"/>
    <w:basedOn w:val="DefaultParagraphFont"/>
    <w:uiPriority w:val="32"/>
    <w:qFormat/>
    <w:rsid w:val="00AE34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Quang Phi</dc:creator>
  <cp:keywords/>
  <dc:description/>
  <cp:lastModifiedBy>Nguyen Quang Phi</cp:lastModifiedBy>
  <cp:revision>22</cp:revision>
  <dcterms:created xsi:type="dcterms:W3CDTF">2025-08-19T10:04:00Z</dcterms:created>
  <dcterms:modified xsi:type="dcterms:W3CDTF">2025-08-20T02:22:00Z</dcterms:modified>
</cp:coreProperties>
</file>