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32399" w:rsidRPr="00B21062" w14:paraId="74B46D6E" w14:textId="77777777">
        <w:tc>
          <w:tcPr>
            <w:tcW w:w="9395" w:type="dxa"/>
            <w:shd w:val="clear" w:color="auto" w:fill="auto"/>
          </w:tcPr>
          <w:p w14:paraId="2E302267" w14:textId="77777777" w:rsidR="00332399" w:rsidRDefault="00332399" w:rsidP="00B21062">
            <w:pPr>
              <w:spacing w:line="312" w:lineRule="auto"/>
              <w:jc w:val="center"/>
              <w:rPr>
                <w:b/>
              </w:rPr>
            </w:pPr>
          </w:p>
          <w:p w14:paraId="07A48A9C" w14:textId="77777777" w:rsidR="00332399" w:rsidRDefault="00000000" w:rsidP="00B21062">
            <w:pPr>
              <w:spacing w:line="312" w:lineRule="auto"/>
              <w:jc w:val="center"/>
              <w:rPr>
                <w:b/>
                <w:sz w:val="26"/>
                <w:szCs w:val="26"/>
              </w:rPr>
            </w:pPr>
            <w:r>
              <w:rPr>
                <w:b/>
                <w:sz w:val="26"/>
                <w:szCs w:val="26"/>
              </w:rPr>
              <w:t>TRƯỜNG ĐẠI HỌC THỦY LỢI</w:t>
            </w:r>
          </w:p>
          <w:p w14:paraId="4E663732" w14:textId="77777777" w:rsidR="00332399" w:rsidRDefault="00000000" w:rsidP="00B21062">
            <w:pPr>
              <w:spacing w:line="312" w:lineRule="auto"/>
              <w:jc w:val="center"/>
            </w:pPr>
            <w:r>
              <w:rPr>
                <w:noProof/>
                <w:sz w:val="26"/>
                <w:szCs w:val="26"/>
              </w:rPr>
              <w:drawing>
                <wp:inline distT="0" distB="0" distL="0" distR="0" wp14:anchorId="57DA7BC2" wp14:editId="73CAA3B4">
                  <wp:extent cx="2107565" cy="1756410"/>
                  <wp:effectExtent l="0" t="0" r="10795" b="11430"/>
                  <wp:docPr id="170346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61640"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07565" cy="1756410"/>
                          </a:xfrm>
                          <a:prstGeom prst="rect">
                            <a:avLst/>
                          </a:prstGeom>
                        </pic:spPr>
                      </pic:pic>
                    </a:graphicData>
                  </a:graphic>
                </wp:inline>
              </w:drawing>
            </w:r>
          </w:p>
          <w:p w14:paraId="42605FAB" w14:textId="77777777" w:rsidR="00332399" w:rsidRDefault="00332399" w:rsidP="00B21062">
            <w:pPr>
              <w:spacing w:line="312" w:lineRule="auto"/>
            </w:pPr>
          </w:p>
          <w:p w14:paraId="0642E92F" w14:textId="77777777" w:rsidR="00332399" w:rsidRDefault="00000000" w:rsidP="00B21062">
            <w:pPr>
              <w:spacing w:line="312" w:lineRule="auto"/>
              <w:jc w:val="center"/>
              <w:rPr>
                <w:b/>
                <w:sz w:val="26"/>
                <w:szCs w:val="26"/>
              </w:rPr>
            </w:pPr>
            <w:r>
              <w:rPr>
                <w:b/>
                <w:sz w:val="26"/>
                <w:szCs w:val="26"/>
              </w:rPr>
              <w:t xml:space="preserve">ĐỀ TÀI: </w:t>
            </w:r>
            <w:r>
              <w:rPr>
                <w:b/>
                <w:bCs/>
                <w:sz w:val="26"/>
                <w:szCs w:val="26"/>
              </w:rPr>
              <w:t>NGHIÊN CỨU TÁC ĐỘNG CỦA HÀNH XỬ THEO KINH NGHIỆM ĐẾN QUYẾT ĐỊNH MUA CỔ PHIẾU CỦA CÁC NHÀ ĐẦU TƯ CÁ NHÂN TẠI VIỆT NAM</w:t>
            </w:r>
          </w:p>
          <w:p w14:paraId="4FF85D2E" w14:textId="77777777" w:rsidR="00332399" w:rsidRDefault="00332399" w:rsidP="00B21062">
            <w:pPr>
              <w:spacing w:line="312" w:lineRule="auto"/>
              <w:rPr>
                <w:b/>
                <w:sz w:val="26"/>
                <w:szCs w:val="26"/>
              </w:rPr>
            </w:pPr>
          </w:p>
          <w:p w14:paraId="061B94E4" w14:textId="77777777" w:rsidR="00332399" w:rsidRPr="00444C5D" w:rsidRDefault="00332399" w:rsidP="00B21062">
            <w:pPr>
              <w:spacing w:line="312" w:lineRule="auto"/>
              <w:rPr>
                <w:b/>
                <w:sz w:val="26"/>
                <w:szCs w:val="26"/>
                <w:lang w:val="vi-VN"/>
              </w:rPr>
            </w:pPr>
          </w:p>
          <w:p w14:paraId="6A6E50C7" w14:textId="77777777" w:rsidR="00444C5D" w:rsidRPr="00C8069C" w:rsidRDefault="00444C5D" w:rsidP="00B21062">
            <w:pPr>
              <w:spacing w:beforeLines="1" w:before="2" w:afterLines="1" w:after="2" w:line="312" w:lineRule="auto"/>
              <w:ind w:leftChars="705" w:left="4736" w:hangingChars="1230" w:hanging="3284"/>
              <w:rPr>
                <w:b/>
                <w:sz w:val="26"/>
                <w:szCs w:val="26"/>
                <w:lang w:val="vi-VN"/>
              </w:rPr>
            </w:pPr>
            <w:r>
              <w:rPr>
                <w:b/>
                <w:sz w:val="26"/>
                <w:szCs w:val="26"/>
                <w:lang w:val="vi-VN"/>
              </w:rPr>
              <w:t xml:space="preserve">          </w:t>
            </w:r>
            <w:r w:rsidRPr="00C8069C">
              <w:rPr>
                <w:b/>
                <w:sz w:val="26"/>
                <w:szCs w:val="26"/>
                <w:lang w:val="vi-VN"/>
              </w:rPr>
              <w:t>Sinh viên thực hiện:</w:t>
            </w:r>
          </w:p>
          <w:tbl>
            <w:tblPr>
              <w:tblStyle w:val="TableGrid"/>
              <w:tblW w:w="0" w:type="auto"/>
              <w:tblInd w:w="2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166"/>
            </w:tblGrid>
            <w:tr w:rsidR="00444C5D" w:rsidRPr="00B21062" w14:paraId="0CFDBCFB" w14:textId="77777777" w:rsidTr="00C8069C">
              <w:tc>
                <w:tcPr>
                  <w:tcW w:w="3260" w:type="dxa"/>
                </w:tcPr>
                <w:p w14:paraId="251DBF48"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Trịnh Tuấn Phương</w:t>
                  </w:r>
                </w:p>
              </w:tc>
              <w:tc>
                <w:tcPr>
                  <w:tcW w:w="2166" w:type="dxa"/>
                </w:tcPr>
                <w:p w14:paraId="013FF099" w14:textId="65304BAB"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-64K-QT</w:t>
                  </w:r>
                </w:p>
              </w:tc>
            </w:tr>
            <w:tr w:rsidR="00444C5D" w:rsidRPr="00B21062" w14:paraId="73A84ECF" w14:textId="77777777" w:rsidTr="00C8069C">
              <w:tc>
                <w:tcPr>
                  <w:tcW w:w="3260" w:type="dxa"/>
                </w:tcPr>
                <w:p w14:paraId="7D47A0C7"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Trần Thanh Sỹ</w:t>
                  </w:r>
                </w:p>
              </w:tc>
              <w:tc>
                <w:tcPr>
                  <w:tcW w:w="2166" w:type="dxa"/>
                </w:tcPr>
                <w:p w14:paraId="3FEFF575"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-64K-ĐT2</w:t>
                  </w:r>
                </w:p>
              </w:tc>
            </w:tr>
            <w:tr w:rsidR="00444C5D" w:rsidRPr="00B21062" w14:paraId="1FEE14C3" w14:textId="77777777" w:rsidTr="00C8069C">
              <w:tc>
                <w:tcPr>
                  <w:tcW w:w="3260" w:type="dxa"/>
                </w:tcPr>
                <w:p w14:paraId="1AE45C14"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Hoàng Hương Giang</w:t>
                  </w:r>
                </w:p>
              </w:tc>
              <w:tc>
                <w:tcPr>
                  <w:tcW w:w="2166" w:type="dxa"/>
                </w:tcPr>
                <w:p w14:paraId="45AD2EED"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-64K-ĐT1</w:t>
                  </w:r>
                </w:p>
              </w:tc>
            </w:tr>
            <w:tr w:rsidR="00444C5D" w:rsidRPr="00B21062" w14:paraId="487E9185" w14:textId="77777777" w:rsidTr="00C8069C">
              <w:tc>
                <w:tcPr>
                  <w:tcW w:w="3260" w:type="dxa"/>
                </w:tcPr>
                <w:p w14:paraId="0B9F4E71"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Đỗ Thị Duyên</w:t>
                  </w:r>
                </w:p>
              </w:tc>
              <w:tc>
                <w:tcPr>
                  <w:tcW w:w="2166" w:type="dxa"/>
                </w:tcPr>
                <w:p w14:paraId="7990F11B"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-64K-ĐT1</w:t>
                  </w:r>
                </w:p>
              </w:tc>
            </w:tr>
            <w:tr w:rsidR="00444C5D" w:rsidRPr="00B21062" w14:paraId="0E20A647" w14:textId="77777777" w:rsidTr="00C8069C">
              <w:trPr>
                <w:trHeight w:val="335"/>
              </w:trPr>
              <w:tc>
                <w:tcPr>
                  <w:tcW w:w="3260" w:type="dxa"/>
                </w:tcPr>
                <w:p w14:paraId="3AA166C5"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Dương Phùng Mỹ Anh</w:t>
                  </w:r>
                </w:p>
              </w:tc>
              <w:tc>
                <w:tcPr>
                  <w:tcW w:w="2166" w:type="dxa"/>
                </w:tcPr>
                <w:p w14:paraId="5CF06A08" w14:textId="77777777" w:rsidR="00444C5D" w:rsidRPr="00876F06" w:rsidRDefault="00444C5D" w:rsidP="00B21062">
                  <w:pPr>
                    <w:spacing w:beforeLines="1" w:before="2" w:afterLines="1" w:after="2" w:line="312" w:lineRule="auto"/>
                    <w:ind w:firstLine="318"/>
                    <w:rPr>
                      <w:rFonts w:ascii="Times New Roman" w:hAnsi="Times New Roman"/>
                      <w:b/>
                      <w:sz w:val="26"/>
                      <w:szCs w:val="26"/>
                    </w:rPr>
                  </w:pPr>
                  <w:r w:rsidRPr="00876F06">
                    <w:rPr>
                      <w:rFonts w:ascii="Times New Roman" w:hAnsi="Times New Roman"/>
                      <w:b/>
                      <w:sz w:val="26"/>
                      <w:szCs w:val="26"/>
                    </w:rPr>
                    <w:t>-64K-ĐT1</w:t>
                  </w:r>
                </w:p>
              </w:tc>
            </w:tr>
          </w:tbl>
          <w:p w14:paraId="1B0F3792" w14:textId="15979E74" w:rsidR="00332399" w:rsidRPr="00C8069C" w:rsidRDefault="00332399" w:rsidP="00B21062">
            <w:pPr>
              <w:spacing w:beforeLines="1" w:before="2" w:afterLines="1" w:after="2" w:line="312" w:lineRule="auto"/>
              <w:ind w:firstLine="1877"/>
              <w:rPr>
                <w:b/>
                <w:sz w:val="26"/>
                <w:szCs w:val="26"/>
                <w:lang w:val="vi-VN"/>
              </w:rPr>
            </w:pPr>
          </w:p>
          <w:p w14:paraId="31D3AB50" w14:textId="77777777" w:rsidR="00332399" w:rsidRDefault="00000000" w:rsidP="00B21062">
            <w:pPr>
              <w:spacing w:beforeLines="1" w:before="2" w:afterLines="1" w:after="2" w:line="312" w:lineRule="auto"/>
              <w:ind w:leftChars="1049" w:left="4738" w:hangingChars="965" w:hanging="2577"/>
              <w:rPr>
                <w:b/>
                <w:sz w:val="26"/>
                <w:szCs w:val="26"/>
                <w:lang w:val="vi-VN"/>
              </w:rPr>
            </w:pPr>
            <w:r w:rsidRPr="00C8069C">
              <w:rPr>
                <w:b/>
                <w:sz w:val="26"/>
                <w:szCs w:val="26"/>
                <w:lang w:val="vi-VN"/>
              </w:rPr>
              <w:t>Khoa:</w:t>
            </w:r>
            <w:r>
              <w:rPr>
                <w:b/>
                <w:sz w:val="26"/>
                <w:szCs w:val="26"/>
                <w:lang w:val="vi-VN"/>
              </w:rPr>
              <w:t xml:space="preserve"> Kinh tế và Quản lý</w:t>
            </w:r>
          </w:p>
          <w:p w14:paraId="205FFCA6" w14:textId="77777777" w:rsidR="00332399" w:rsidRDefault="00000000" w:rsidP="00B21062">
            <w:pPr>
              <w:spacing w:beforeLines="1" w:before="2" w:afterLines="1" w:after="2" w:line="312" w:lineRule="auto"/>
              <w:ind w:leftChars="1049" w:left="4738" w:hangingChars="965" w:hanging="2577"/>
              <w:rPr>
                <w:b/>
                <w:sz w:val="26"/>
                <w:szCs w:val="26"/>
                <w:lang w:val="vi-VN"/>
              </w:rPr>
            </w:pPr>
            <w:r w:rsidRPr="00C8069C">
              <w:rPr>
                <w:b/>
                <w:sz w:val="26"/>
                <w:szCs w:val="26"/>
                <w:lang w:val="vi-VN"/>
              </w:rPr>
              <w:t>Giáo viên hướng dẫn:</w:t>
            </w:r>
            <w:r>
              <w:rPr>
                <w:b/>
                <w:sz w:val="26"/>
                <w:szCs w:val="26"/>
                <w:lang w:val="vi-VN"/>
              </w:rPr>
              <w:t xml:space="preserve"> ThS. Trần Khắc Ninh</w:t>
            </w:r>
          </w:p>
          <w:p w14:paraId="1D6C24F4" w14:textId="77777777" w:rsidR="00332399" w:rsidRPr="00C8069C" w:rsidRDefault="00332399" w:rsidP="00B21062">
            <w:pPr>
              <w:spacing w:line="312" w:lineRule="auto"/>
              <w:ind w:leftChars="1301" w:left="4739" w:hangingChars="771" w:hanging="2059"/>
              <w:jc w:val="center"/>
              <w:rPr>
                <w:b/>
                <w:i/>
                <w:sz w:val="26"/>
                <w:szCs w:val="26"/>
                <w:lang w:val="vi-VN"/>
              </w:rPr>
            </w:pPr>
          </w:p>
          <w:p w14:paraId="58D26467" w14:textId="77777777" w:rsidR="00332399" w:rsidRPr="00C8069C" w:rsidRDefault="00332399" w:rsidP="00B21062">
            <w:pPr>
              <w:spacing w:line="312" w:lineRule="auto"/>
              <w:jc w:val="center"/>
              <w:rPr>
                <w:b/>
                <w:i/>
                <w:sz w:val="26"/>
                <w:szCs w:val="26"/>
                <w:lang w:val="vi-VN"/>
              </w:rPr>
            </w:pPr>
          </w:p>
          <w:p w14:paraId="1A62B35D" w14:textId="77777777" w:rsidR="00332399" w:rsidRPr="00C8069C" w:rsidRDefault="00332399" w:rsidP="00B21062">
            <w:pPr>
              <w:spacing w:line="312" w:lineRule="auto"/>
              <w:jc w:val="center"/>
              <w:rPr>
                <w:b/>
                <w:i/>
                <w:sz w:val="26"/>
                <w:szCs w:val="26"/>
                <w:lang w:val="vi-VN"/>
              </w:rPr>
            </w:pPr>
          </w:p>
          <w:p w14:paraId="5787B87F" w14:textId="77777777" w:rsidR="00332399" w:rsidRPr="00C8069C" w:rsidRDefault="00332399" w:rsidP="00B21062">
            <w:pPr>
              <w:spacing w:line="312" w:lineRule="auto"/>
              <w:jc w:val="center"/>
              <w:rPr>
                <w:b/>
                <w:i/>
                <w:sz w:val="26"/>
                <w:szCs w:val="26"/>
                <w:lang w:val="vi-VN"/>
              </w:rPr>
            </w:pPr>
          </w:p>
          <w:p w14:paraId="57B0D723" w14:textId="77777777" w:rsidR="00B21062" w:rsidRPr="00C8069C" w:rsidRDefault="00B21062" w:rsidP="00B21062">
            <w:pPr>
              <w:spacing w:line="312" w:lineRule="auto"/>
              <w:rPr>
                <w:b/>
                <w:i/>
                <w:sz w:val="26"/>
                <w:szCs w:val="26"/>
                <w:lang w:val="vi-VN"/>
              </w:rPr>
            </w:pPr>
          </w:p>
          <w:p w14:paraId="674C49B4" w14:textId="77777777" w:rsidR="00332399" w:rsidRPr="00876F06" w:rsidRDefault="00000000" w:rsidP="00B21062">
            <w:pPr>
              <w:spacing w:line="312" w:lineRule="auto"/>
              <w:jc w:val="center"/>
              <w:rPr>
                <w:lang w:val="vi-VN"/>
              </w:rPr>
            </w:pPr>
            <w:r w:rsidRPr="00C8069C">
              <w:rPr>
                <w:b/>
                <w:i/>
                <w:sz w:val="26"/>
                <w:szCs w:val="26"/>
                <w:lang w:val="vi-VN"/>
              </w:rPr>
              <w:t xml:space="preserve">Hà Nội, </w:t>
            </w:r>
            <w:r w:rsidRPr="00876F06">
              <w:rPr>
                <w:b/>
                <w:bCs/>
                <w:i/>
                <w:sz w:val="26"/>
                <w:szCs w:val="26"/>
                <w:lang w:val="vi-VN"/>
              </w:rPr>
              <w:t>2025</w:t>
            </w:r>
          </w:p>
        </w:tc>
      </w:tr>
    </w:tbl>
    <w:p w14:paraId="7F6D7154" w14:textId="77777777" w:rsidR="00332399" w:rsidRPr="00C8069C" w:rsidRDefault="00332399" w:rsidP="00B21062">
      <w:pPr>
        <w:spacing w:line="312" w:lineRule="auto"/>
        <w:rPr>
          <w:b/>
          <w:bCs/>
          <w:sz w:val="28"/>
          <w:szCs w:val="28"/>
          <w:lang w:val="vi-VN"/>
        </w:rPr>
      </w:pPr>
    </w:p>
    <w:sdt>
      <w:sdtPr>
        <w:rPr>
          <w:rFonts w:ascii="SimSun" w:eastAsia="SimSun" w:hAnsi="SimSun"/>
          <w:sz w:val="21"/>
        </w:rPr>
        <w:id w:val="147475302"/>
        <w15:color w:val="DBDBDB"/>
        <w:docPartObj>
          <w:docPartGallery w:val="Table of Contents"/>
          <w:docPartUnique/>
        </w:docPartObj>
      </w:sdtPr>
      <w:sdtEndPr>
        <w:rPr>
          <w:rFonts w:ascii="Times New Roman" w:eastAsia="Times New Roman" w:hAnsi="Times New Roman"/>
          <w:b/>
          <w:bCs/>
          <w:sz w:val="20"/>
          <w:szCs w:val="28"/>
        </w:rPr>
      </w:sdtEndPr>
      <w:sdtContent>
        <w:p w14:paraId="24A19602" w14:textId="77777777" w:rsidR="00332399" w:rsidRDefault="00000000" w:rsidP="00B21062">
          <w:pPr>
            <w:spacing w:after="0" w:line="312" w:lineRule="auto"/>
            <w:jc w:val="center"/>
            <w:rPr>
              <w:sz w:val="26"/>
              <w:szCs w:val="26"/>
              <w:lang w:val="vi-VN"/>
            </w:rPr>
          </w:pPr>
          <w:r>
            <w:rPr>
              <w:rFonts w:eastAsia="SimSun"/>
              <w:b/>
              <w:bCs/>
              <w:sz w:val="26"/>
              <w:szCs w:val="26"/>
              <w:lang w:val="vi-VN"/>
            </w:rPr>
            <w:t>MỤC LỤC</w:t>
          </w:r>
          <w:r>
            <w:rPr>
              <w:rFonts w:eastAsia="SimSun"/>
              <w:sz w:val="26"/>
              <w:szCs w:val="26"/>
              <w:lang w:val="vi-VN"/>
            </w:rPr>
            <w:t xml:space="preserve"> </w:t>
          </w:r>
        </w:p>
        <w:p w14:paraId="6604932E" w14:textId="77777777" w:rsidR="00332399" w:rsidRDefault="00000000" w:rsidP="00B21062">
          <w:pPr>
            <w:pStyle w:val="WPSOffice1"/>
            <w:tabs>
              <w:tab w:val="right" w:leader="dot" w:pos="9071"/>
            </w:tabs>
            <w:spacing w:line="312" w:lineRule="auto"/>
            <w:rPr>
              <w:bCs/>
              <w:noProof/>
            </w:rPr>
          </w:pPr>
          <w:r>
            <w:rPr>
              <w:b/>
              <w:bCs/>
              <w:sz w:val="28"/>
              <w:szCs w:val="28"/>
            </w:rPr>
            <w:fldChar w:fldCharType="begin"/>
          </w:r>
          <w:r>
            <w:rPr>
              <w:b/>
              <w:bCs/>
              <w:sz w:val="28"/>
              <w:szCs w:val="28"/>
            </w:rPr>
            <w:instrText xml:space="preserve">TOC \o "1-2" \h \u </w:instrText>
          </w:r>
          <w:r>
            <w:rPr>
              <w:b/>
              <w:bCs/>
              <w:sz w:val="28"/>
              <w:szCs w:val="28"/>
            </w:rPr>
            <w:fldChar w:fldCharType="separate"/>
          </w:r>
        </w:p>
        <w:p w14:paraId="588F3E5A" w14:textId="7E542098" w:rsidR="00332399" w:rsidRDefault="00000000" w:rsidP="00B21062">
          <w:pPr>
            <w:pStyle w:val="WPSOffice1"/>
            <w:tabs>
              <w:tab w:val="right" w:leader="dot" w:pos="9071"/>
            </w:tabs>
            <w:spacing w:line="312" w:lineRule="auto"/>
            <w:rPr>
              <w:bCs/>
              <w:noProof/>
              <w:sz w:val="26"/>
              <w:szCs w:val="26"/>
            </w:rPr>
          </w:pPr>
          <w:hyperlink w:anchor="_Toc7779" w:history="1">
            <w:r>
              <w:rPr>
                <w:b/>
                <w:noProof/>
                <w:sz w:val="26"/>
                <w:szCs w:val="26"/>
              </w:rPr>
              <w:t>1. MỞ ĐẦU</w:t>
            </w:r>
            <w:r>
              <w:rPr>
                <w:bCs/>
                <w:noProof/>
                <w:sz w:val="26"/>
                <w:szCs w:val="26"/>
              </w:rPr>
              <w:tab/>
            </w:r>
            <w:r>
              <w:rPr>
                <w:bCs/>
                <w:noProof/>
                <w:sz w:val="26"/>
                <w:szCs w:val="26"/>
              </w:rPr>
              <w:fldChar w:fldCharType="begin"/>
            </w:r>
            <w:r>
              <w:rPr>
                <w:bCs/>
                <w:noProof/>
                <w:sz w:val="26"/>
                <w:szCs w:val="26"/>
              </w:rPr>
              <w:instrText xml:space="preserve"> PAGEREF _Toc7779 \h </w:instrText>
            </w:r>
            <w:r>
              <w:rPr>
                <w:bCs/>
                <w:noProof/>
                <w:sz w:val="26"/>
                <w:szCs w:val="26"/>
              </w:rPr>
            </w:r>
            <w:r>
              <w:rPr>
                <w:bCs/>
                <w:noProof/>
                <w:sz w:val="26"/>
                <w:szCs w:val="26"/>
              </w:rPr>
              <w:fldChar w:fldCharType="separate"/>
            </w:r>
            <w:r w:rsidR="00B21062">
              <w:rPr>
                <w:bCs/>
                <w:noProof/>
                <w:sz w:val="26"/>
                <w:szCs w:val="26"/>
              </w:rPr>
              <w:t>2</w:t>
            </w:r>
            <w:r>
              <w:rPr>
                <w:bCs/>
                <w:noProof/>
                <w:sz w:val="26"/>
                <w:szCs w:val="26"/>
              </w:rPr>
              <w:fldChar w:fldCharType="end"/>
            </w:r>
          </w:hyperlink>
        </w:p>
        <w:p w14:paraId="0A57D917" w14:textId="7208AF57" w:rsidR="00332399" w:rsidRDefault="00000000" w:rsidP="00B21062">
          <w:pPr>
            <w:pStyle w:val="WPSOffice1"/>
            <w:tabs>
              <w:tab w:val="right" w:leader="dot" w:pos="9071"/>
            </w:tabs>
            <w:spacing w:line="312" w:lineRule="auto"/>
            <w:rPr>
              <w:bCs/>
              <w:noProof/>
              <w:sz w:val="26"/>
              <w:szCs w:val="26"/>
            </w:rPr>
          </w:pPr>
          <w:hyperlink w:anchor="_Toc20478" w:history="1">
            <w:r>
              <w:rPr>
                <w:b/>
                <w:noProof/>
                <w:sz w:val="26"/>
                <w:szCs w:val="26"/>
              </w:rPr>
              <w:t>2. NỘI DUNG NGHIÊN CỨU</w:t>
            </w:r>
            <w:r>
              <w:rPr>
                <w:bCs/>
                <w:noProof/>
                <w:sz w:val="26"/>
                <w:szCs w:val="26"/>
              </w:rPr>
              <w:tab/>
            </w:r>
            <w:r>
              <w:rPr>
                <w:bCs/>
                <w:noProof/>
                <w:sz w:val="26"/>
                <w:szCs w:val="26"/>
              </w:rPr>
              <w:fldChar w:fldCharType="begin"/>
            </w:r>
            <w:r>
              <w:rPr>
                <w:bCs/>
                <w:noProof/>
                <w:sz w:val="26"/>
                <w:szCs w:val="26"/>
              </w:rPr>
              <w:instrText xml:space="preserve"> PAGEREF _Toc20478 \h </w:instrText>
            </w:r>
            <w:r>
              <w:rPr>
                <w:bCs/>
                <w:noProof/>
                <w:sz w:val="26"/>
                <w:szCs w:val="26"/>
              </w:rPr>
            </w:r>
            <w:r>
              <w:rPr>
                <w:bCs/>
                <w:noProof/>
                <w:sz w:val="26"/>
                <w:szCs w:val="26"/>
              </w:rPr>
              <w:fldChar w:fldCharType="separate"/>
            </w:r>
            <w:r w:rsidR="00B21062">
              <w:rPr>
                <w:bCs/>
                <w:noProof/>
                <w:sz w:val="26"/>
                <w:szCs w:val="26"/>
              </w:rPr>
              <w:t>2</w:t>
            </w:r>
            <w:r>
              <w:rPr>
                <w:bCs/>
                <w:noProof/>
                <w:sz w:val="26"/>
                <w:szCs w:val="26"/>
              </w:rPr>
              <w:fldChar w:fldCharType="end"/>
            </w:r>
          </w:hyperlink>
        </w:p>
        <w:p w14:paraId="67300B63" w14:textId="53C7C546" w:rsidR="00332399" w:rsidRDefault="00000000" w:rsidP="00B21062">
          <w:pPr>
            <w:pStyle w:val="WPSOffice2"/>
            <w:tabs>
              <w:tab w:val="right" w:leader="dot" w:pos="9071"/>
            </w:tabs>
            <w:spacing w:line="312" w:lineRule="auto"/>
            <w:ind w:leftChars="0" w:left="422" w:hangingChars="211" w:hanging="422"/>
            <w:rPr>
              <w:bCs/>
              <w:noProof/>
              <w:sz w:val="26"/>
              <w:szCs w:val="26"/>
            </w:rPr>
          </w:pPr>
          <w:hyperlink w:anchor="_Toc13736" w:history="1">
            <w:r>
              <w:rPr>
                <w:bCs/>
                <w:noProof/>
                <w:sz w:val="26"/>
                <w:szCs w:val="26"/>
              </w:rPr>
              <w:t>2.1. Phương pháp nghiên cứu</w:t>
            </w:r>
            <w:r>
              <w:rPr>
                <w:bCs/>
                <w:noProof/>
                <w:sz w:val="26"/>
                <w:szCs w:val="26"/>
              </w:rPr>
              <w:tab/>
            </w:r>
            <w:r>
              <w:rPr>
                <w:bCs/>
                <w:noProof/>
                <w:sz w:val="26"/>
                <w:szCs w:val="26"/>
              </w:rPr>
              <w:fldChar w:fldCharType="begin"/>
            </w:r>
            <w:r>
              <w:rPr>
                <w:bCs/>
                <w:noProof/>
                <w:sz w:val="26"/>
                <w:szCs w:val="26"/>
              </w:rPr>
              <w:instrText xml:space="preserve"> PAGEREF _Toc13736 \h </w:instrText>
            </w:r>
            <w:r>
              <w:rPr>
                <w:bCs/>
                <w:noProof/>
                <w:sz w:val="26"/>
                <w:szCs w:val="26"/>
              </w:rPr>
            </w:r>
            <w:r>
              <w:rPr>
                <w:bCs/>
                <w:noProof/>
                <w:sz w:val="26"/>
                <w:szCs w:val="26"/>
              </w:rPr>
              <w:fldChar w:fldCharType="separate"/>
            </w:r>
            <w:r w:rsidR="00B21062">
              <w:rPr>
                <w:bCs/>
                <w:noProof/>
                <w:sz w:val="26"/>
                <w:szCs w:val="26"/>
              </w:rPr>
              <w:t>2</w:t>
            </w:r>
            <w:r>
              <w:rPr>
                <w:bCs/>
                <w:noProof/>
                <w:sz w:val="26"/>
                <w:szCs w:val="26"/>
              </w:rPr>
              <w:fldChar w:fldCharType="end"/>
            </w:r>
          </w:hyperlink>
        </w:p>
        <w:p w14:paraId="3931D278" w14:textId="295EC9E3" w:rsidR="00332399" w:rsidRDefault="00000000" w:rsidP="00B21062">
          <w:pPr>
            <w:pStyle w:val="WPSOffice2"/>
            <w:tabs>
              <w:tab w:val="right" w:leader="dot" w:pos="9071"/>
            </w:tabs>
            <w:spacing w:line="312" w:lineRule="auto"/>
            <w:ind w:leftChars="0" w:left="422" w:hangingChars="211" w:hanging="422"/>
            <w:rPr>
              <w:bCs/>
              <w:noProof/>
              <w:sz w:val="26"/>
              <w:szCs w:val="26"/>
            </w:rPr>
          </w:pPr>
          <w:hyperlink w:anchor="_Toc7980" w:history="1">
            <w:r>
              <w:rPr>
                <w:bCs/>
                <w:noProof/>
                <w:sz w:val="26"/>
                <w:szCs w:val="26"/>
              </w:rPr>
              <w:t>2.2. Tổng quan các nghiên cứu có liên quan đến đề tài</w:t>
            </w:r>
            <w:r>
              <w:rPr>
                <w:bCs/>
                <w:noProof/>
                <w:sz w:val="26"/>
                <w:szCs w:val="26"/>
              </w:rPr>
              <w:tab/>
            </w:r>
            <w:r>
              <w:rPr>
                <w:bCs/>
                <w:noProof/>
                <w:sz w:val="26"/>
                <w:szCs w:val="26"/>
              </w:rPr>
              <w:fldChar w:fldCharType="begin"/>
            </w:r>
            <w:r>
              <w:rPr>
                <w:bCs/>
                <w:noProof/>
                <w:sz w:val="26"/>
                <w:szCs w:val="26"/>
              </w:rPr>
              <w:instrText xml:space="preserve"> PAGEREF _Toc7980 \h </w:instrText>
            </w:r>
            <w:r>
              <w:rPr>
                <w:bCs/>
                <w:noProof/>
                <w:sz w:val="26"/>
                <w:szCs w:val="26"/>
              </w:rPr>
            </w:r>
            <w:r>
              <w:rPr>
                <w:bCs/>
                <w:noProof/>
                <w:sz w:val="26"/>
                <w:szCs w:val="26"/>
              </w:rPr>
              <w:fldChar w:fldCharType="separate"/>
            </w:r>
            <w:r w:rsidR="00B21062">
              <w:rPr>
                <w:bCs/>
                <w:noProof/>
                <w:sz w:val="26"/>
                <w:szCs w:val="26"/>
              </w:rPr>
              <w:t>3</w:t>
            </w:r>
            <w:r>
              <w:rPr>
                <w:bCs/>
                <w:noProof/>
                <w:sz w:val="26"/>
                <w:szCs w:val="26"/>
              </w:rPr>
              <w:fldChar w:fldCharType="end"/>
            </w:r>
          </w:hyperlink>
        </w:p>
        <w:p w14:paraId="476428F3" w14:textId="58D647B1" w:rsidR="00332399" w:rsidRDefault="00000000" w:rsidP="00B21062">
          <w:pPr>
            <w:pStyle w:val="WPSOffice2"/>
            <w:tabs>
              <w:tab w:val="right" w:leader="dot" w:pos="9071"/>
            </w:tabs>
            <w:spacing w:line="312" w:lineRule="auto"/>
            <w:ind w:leftChars="0" w:left="422" w:hangingChars="211" w:hanging="422"/>
            <w:rPr>
              <w:bCs/>
              <w:noProof/>
              <w:sz w:val="26"/>
              <w:szCs w:val="26"/>
            </w:rPr>
          </w:pPr>
          <w:hyperlink w:anchor="_Toc13640" w:history="1">
            <w:r>
              <w:rPr>
                <w:bCs/>
                <w:noProof/>
                <w:sz w:val="26"/>
                <w:szCs w:val="26"/>
              </w:rPr>
              <w:t>2.3. Mô hình nghiên cứu</w:t>
            </w:r>
            <w:r>
              <w:rPr>
                <w:bCs/>
                <w:noProof/>
                <w:sz w:val="26"/>
                <w:szCs w:val="26"/>
              </w:rPr>
              <w:tab/>
            </w:r>
            <w:r>
              <w:rPr>
                <w:bCs/>
                <w:noProof/>
                <w:sz w:val="26"/>
                <w:szCs w:val="26"/>
              </w:rPr>
              <w:fldChar w:fldCharType="begin"/>
            </w:r>
            <w:r>
              <w:rPr>
                <w:bCs/>
                <w:noProof/>
                <w:sz w:val="26"/>
                <w:szCs w:val="26"/>
              </w:rPr>
              <w:instrText xml:space="preserve"> PAGEREF _Toc13640 \h </w:instrText>
            </w:r>
            <w:r>
              <w:rPr>
                <w:bCs/>
                <w:noProof/>
                <w:sz w:val="26"/>
                <w:szCs w:val="26"/>
              </w:rPr>
            </w:r>
            <w:r>
              <w:rPr>
                <w:bCs/>
                <w:noProof/>
                <w:sz w:val="26"/>
                <w:szCs w:val="26"/>
              </w:rPr>
              <w:fldChar w:fldCharType="separate"/>
            </w:r>
            <w:r w:rsidR="00B21062">
              <w:rPr>
                <w:bCs/>
                <w:noProof/>
                <w:sz w:val="26"/>
                <w:szCs w:val="26"/>
              </w:rPr>
              <w:t>5</w:t>
            </w:r>
            <w:r>
              <w:rPr>
                <w:bCs/>
                <w:noProof/>
                <w:sz w:val="26"/>
                <w:szCs w:val="26"/>
              </w:rPr>
              <w:fldChar w:fldCharType="end"/>
            </w:r>
          </w:hyperlink>
        </w:p>
        <w:p w14:paraId="6883C692" w14:textId="40B282ED" w:rsidR="00332399" w:rsidRDefault="00000000" w:rsidP="00B21062">
          <w:pPr>
            <w:pStyle w:val="WPSOffice2"/>
            <w:tabs>
              <w:tab w:val="right" w:leader="dot" w:pos="9071"/>
            </w:tabs>
            <w:spacing w:line="312" w:lineRule="auto"/>
            <w:ind w:leftChars="0" w:left="422" w:hangingChars="211" w:hanging="422"/>
            <w:rPr>
              <w:bCs/>
              <w:noProof/>
              <w:sz w:val="26"/>
              <w:szCs w:val="26"/>
            </w:rPr>
          </w:pPr>
          <w:hyperlink w:anchor="_Toc21613" w:history="1">
            <w:r>
              <w:rPr>
                <w:bCs/>
                <w:noProof/>
                <w:sz w:val="26"/>
                <w:szCs w:val="26"/>
              </w:rPr>
              <w:t>2.4. Kết quả nghiên cứu</w:t>
            </w:r>
            <w:r>
              <w:rPr>
                <w:bCs/>
                <w:noProof/>
                <w:sz w:val="26"/>
                <w:szCs w:val="26"/>
              </w:rPr>
              <w:tab/>
            </w:r>
            <w:r>
              <w:rPr>
                <w:bCs/>
                <w:noProof/>
                <w:sz w:val="26"/>
                <w:szCs w:val="26"/>
              </w:rPr>
              <w:fldChar w:fldCharType="begin"/>
            </w:r>
            <w:r>
              <w:rPr>
                <w:bCs/>
                <w:noProof/>
                <w:sz w:val="26"/>
                <w:szCs w:val="26"/>
              </w:rPr>
              <w:instrText xml:space="preserve"> PAGEREF _Toc21613 \h </w:instrText>
            </w:r>
            <w:r>
              <w:rPr>
                <w:bCs/>
                <w:noProof/>
                <w:sz w:val="26"/>
                <w:szCs w:val="26"/>
              </w:rPr>
            </w:r>
            <w:r>
              <w:rPr>
                <w:bCs/>
                <w:noProof/>
                <w:sz w:val="26"/>
                <w:szCs w:val="26"/>
              </w:rPr>
              <w:fldChar w:fldCharType="separate"/>
            </w:r>
            <w:r w:rsidR="00B21062">
              <w:rPr>
                <w:bCs/>
                <w:noProof/>
                <w:sz w:val="26"/>
                <w:szCs w:val="26"/>
              </w:rPr>
              <w:t>6</w:t>
            </w:r>
            <w:r>
              <w:rPr>
                <w:bCs/>
                <w:noProof/>
                <w:sz w:val="26"/>
                <w:szCs w:val="26"/>
              </w:rPr>
              <w:fldChar w:fldCharType="end"/>
            </w:r>
          </w:hyperlink>
        </w:p>
        <w:p w14:paraId="2265B624" w14:textId="3C6252FE" w:rsidR="00332399" w:rsidRDefault="00000000" w:rsidP="00B21062">
          <w:pPr>
            <w:pStyle w:val="WPSOffice1"/>
            <w:tabs>
              <w:tab w:val="right" w:leader="dot" w:pos="9071"/>
            </w:tabs>
            <w:spacing w:line="312" w:lineRule="auto"/>
            <w:rPr>
              <w:bCs/>
              <w:noProof/>
              <w:sz w:val="26"/>
              <w:szCs w:val="26"/>
            </w:rPr>
          </w:pPr>
          <w:hyperlink w:anchor="_Toc26601" w:history="1">
            <w:r>
              <w:rPr>
                <w:b/>
                <w:noProof/>
                <w:sz w:val="26"/>
                <w:szCs w:val="26"/>
              </w:rPr>
              <w:t>3. KẾT LUẬN</w:t>
            </w:r>
            <w:r>
              <w:rPr>
                <w:bCs/>
                <w:noProof/>
                <w:sz w:val="26"/>
                <w:szCs w:val="26"/>
              </w:rPr>
              <w:tab/>
            </w:r>
            <w:r>
              <w:rPr>
                <w:bCs/>
                <w:noProof/>
                <w:sz w:val="26"/>
                <w:szCs w:val="26"/>
              </w:rPr>
              <w:fldChar w:fldCharType="begin"/>
            </w:r>
            <w:r>
              <w:rPr>
                <w:bCs/>
                <w:noProof/>
                <w:sz w:val="26"/>
                <w:szCs w:val="26"/>
              </w:rPr>
              <w:instrText xml:space="preserve"> PAGEREF _Toc26601 \h </w:instrText>
            </w:r>
            <w:r>
              <w:rPr>
                <w:bCs/>
                <w:noProof/>
                <w:sz w:val="26"/>
                <w:szCs w:val="26"/>
              </w:rPr>
            </w:r>
            <w:r>
              <w:rPr>
                <w:bCs/>
                <w:noProof/>
                <w:sz w:val="26"/>
                <w:szCs w:val="26"/>
              </w:rPr>
              <w:fldChar w:fldCharType="separate"/>
            </w:r>
            <w:r w:rsidR="00B21062">
              <w:rPr>
                <w:bCs/>
                <w:noProof/>
                <w:sz w:val="26"/>
                <w:szCs w:val="26"/>
              </w:rPr>
              <w:t>8</w:t>
            </w:r>
            <w:r>
              <w:rPr>
                <w:bCs/>
                <w:noProof/>
                <w:sz w:val="26"/>
                <w:szCs w:val="26"/>
              </w:rPr>
              <w:fldChar w:fldCharType="end"/>
            </w:r>
          </w:hyperlink>
        </w:p>
        <w:p w14:paraId="33095A85" w14:textId="367C0B91" w:rsidR="00332399" w:rsidRDefault="00000000" w:rsidP="00B21062">
          <w:pPr>
            <w:pStyle w:val="WPSOffice1"/>
            <w:tabs>
              <w:tab w:val="right" w:leader="dot" w:pos="9071"/>
            </w:tabs>
            <w:spacing w:line="312" w:lineRule="auto"/>
            <w:rPr>
              <w:bCs/>
              <w:noProof/>
              <w:sz w:val="26"/>
              <w:szCs w:val="26"/>
            </w:rPr>
          </w:pPr>
          <w:hyperlink w:anchor="_Toc11961" w:history="1">
            <w:r>
              <w:rPr>
                <w:b/>
                <w:noProof/>
                <w:sz w:val="26"/>
                <w:szCs w:val="26"/>
              </w:rPr>
              <w:t>4. TÀI LIỆU THAM KHẢO</w:t>
            </w:r>
            <w:r>
              <w:rPr>
                <w:bCs/>
                <w:noProof/>
                <w:sz w:val="26"/>
                <w:szCs w:val="26"/>
              </w:rPr>
              <w:tab/>
            </w:r>
            <w:r>
              <w:rPr>
                <w:bCs/>
                <w:noProof/>
                <w:sz w:val="26"/>
                <w:szCs w:val="26"/>
              </w:rPr>
              <w:fldChar w:fldCharType="begin"/>
            </w:r>
            <w:r>
              <w:rPr>
                <w:bCs/>
                <w:noProof/>
                <w:sz w:val="26"/>
                <w:szCs w:val="26"/>
              </w:rPr>
              <w:instrText xml:space="preserve"> PAGEREF _Toc11961 \h </w:instrText>
            </w:r>
            <w:r>
              <w:rPr>
                <w:bCs/>
                <w:noProof/>
                <w:sz w:val="26"/>
                <w:szCs w:val="26"/>
              </w:rPr>
            </w:r>
            <w:r>
              <w:rPr>
                <w:bCs/>
                <w:noProof/>
                <w:sz w:val="26"/>
                <w:szCs w:val="26"/>
              </w:rPr>
              <w:fldChar w:fldCharType="separate"/>
            </w:r>
            <w:r w:rsidR="00B21062">
              <w:rPr>
                <w:bCs/>
                <w:noProof/>
                <w:sz w:val="26"/>
                <w:szCs w:val="26"/>
              </w:rPr>
              <w:t>9</w:t>
            </w:r>
            <w:r>
              <w:rPr>
                <w:bCs/>
                <w:noProof/>
                <w:sz w:val="26"/>
                <w:szCs w:val="26"/>
              </w:rPr>
              <w:fldChar w:fldCharType="end"/>
            </w:r>
          </w:hyperlink>
        </w:p>
        <w:p w14:paraId="08E2792F" w14:textId="25914A24" w:rsidR="00332399" w:rsidRDefault="00000000" w:rsidP="00B21062">
          <w:pPr>
            <w:pStyle w:val="WPSOffice1"/>
            <w:tabs>
              <w:tab w:val="right" w:leader="dot" w:pos="9071"/>
            </w:tabs>
            <w:spacing w:line="312" w:lineRule="auto"/>
            <w:rPr>
              <w:bCs/>
              <w:noProof/>
              <w:sz w:val="26"/>
              <w:szCs w:val="26"/>
            </w:rPr>
          </w:pPr>
          <w:hyperlink w:anchor="_Toc25441" w:history="1">
            <w:r>
              <w:rPr>
                <w:b/>
                <w:noProof/>
                <w:sz w:val="26"/>
                <w:szCs w:val="26"/>
              </w:rPr>
              <w:t>5. PHỤ LỤC</w:t>
            </w:r>
            <w:r>
              <w:rPr>
                <w:bCs/>
                <w:noProof/>
                <w:sz w:val="26"/>
                <w:szCs w:val="26"/>
              </w:rPr>
              <w:tab/>
            </w:r>
            <w:r>
              <w:rPr>
                <w:bCs/>
                <w:noProof/>
                <w:sz w:val="26"/>
                <w:szCs w:val="26"/>
              </w:rPr>
              <w:fldChar w:fldCharType="begin"/>
            </w:r>
            <w:r>
              <w:rPr>
                <w:bCs/>
                <w:noProof/>
                <w:sz w:val="26"/>
                <w:szCs w:val="26"/>
              </w:rPr>
              <w:instrText xml:space="preserve"> PAGEREF _Toc25441 \h </w:instrText>
            </w:r>
            <w:r>
              <w:rPr>
                <w:bCs/>
                <w:noProof/>
                <w:sz w:val="26"/>
                <w:szCs w:val="26"/>
              </w:rPr>
            </w:r>
            <w:r>
              <w:rPr>
                <w:bCs/>
                <w:noProof/>
                <w:sz w:val="26"/>
                <w:szCs w:val="26"/>
              </w:rPr>
              <w:fldChar w:fldCharType="separate"/>
            </w:r>
            <w:r w:rsidR="00B21062">
              <w:rPr>
                <w:bCs/>
                <w:noProof/>
                <w:sz w:val="26"/>
                <w:szCs w:val="26"/>
              </w:rPr>
              <w:t>10</w:t>
            </w:r>
            <w:r>
              <w:rPr>
                <w:bCs/>
                <w:noProof/>
                <w:sz w:val="26"/>
                <w:szCs w:val="26"/>
              </w:rPr>
              <w:fldChar w:fldCharType="end"/>
            </w:r>
          </w:hyperlink>
        </w:p>
        <w:p w14:paraId="734FC3E2" w14:textId="77777777" w:rsidR="00332399" w:rsidRDefault="00332399" w:rsidP="00B21062">
          <w:pPr>
            <w:pStyle w:val="WPSOffice1"/>
            <w:tabs>
              <w:tab w:val="right" w:leader="dot" w:pos="9071"/>
            </w:tabs>
            <w:spacing w:line="312" w:lineRule="auto"/>
            <w:rPr>
              <w:bCs/>
              <w:noProof/>
              <w:sz w:val="26"/>
              <w:szCs w:val="26"/>
            </w:rPr>
          </w:pPr>
        </w:p>
        <w:p w14:paraId="561A9DB3" w14:textId="77777777" w:rsidR="00332399" w:rsidRDefault="00000000" w:rsidP="00B21062">
          <w:pPr>
            <w:spacing w:line="312" w:lineRule="auto"/>
            <w:jc w:val="center"/>
            <w:rPr>
              <w:b/>
              <w:bCs/>
              <w:sz w:val="26"/>
              <w:szCs w:val="26"/>
              <w:lang w:val="vi-VN"/>
            </w:rPr>
          </w:pPr>
          <w:r>
            <w:rPr>
              <w:b/>
              <w:bCs/>
              <w:szCs w:val="28"/>
            </w:rPr>
            <w:fldChar w:fldCharType="end"/>
          </w:r>
          <w:r>
            <w:rPr>
              <w:b/>
              <w:bCs/>
              <w:sz w:val="26"/>
              <w:szCs w:val="26"/>
              <w:lang w:val="vi-VN"/>
            </w:rPr>
            <w:t>DANH MỤC BẢNG BIỂU</w:t>
          </w:r>
        </w:p>
        <w:p w14:paraId="5620CBBF" w14:textId="4CB1E4AA" w:rsidR="00332399" w:rsidRDefault="00000000" w:rsidP="00B21062">
          <w:pPr>
            <w:pStyle w:val="TOC1"/>
            <w:tabs>
              <w:tab w:val="right" w:leader="dot" w:pos="9071"/>
            </w:tabs>
            <w:spacing w:after="0" w:line="312" w:lineRule="auto"/>
            <w:rPr>
              <w:sz w:val="26"/>
              <w:szCs w:val="26"/>
            </w:rPr>
          </w:pPr>
          <w:r>
            <w:rPr>
              <w:b/>
              <w:bCs/>
              <w:szCs w:val="28"/>
            </w:rPr>
            <w:fldChar w:fldCharType="begin"/>
          </w:r>
          <w:r>
            <w:rPr>
              <w:b/>
              <w:bCs/>
              <w:szCs w:val="28"/>
            </w:rPr>
            <w:instrText>TOC \t "bảng,1" \h</w:instrText>
          </w:r>
          <w:r>
            <w:rPr>
              <w:b/>
              <w:bCs/>
              <w:szCs w:val="28"/>
            </w:rPr>
            <w:fldChar w:fldCharType="separate"/>
          </w:r>
          <w:hyperlink w:anchor="_Toc24556" w:history="1">
            <w:r>
              <w:rPr>
                <w:sz w:val="26"/>
                <w:szCs w:val="26"/>
              </w:rPr>
              <w:t xml:space="preserve">Bảng </w:t>
            </w:r>
            <w:r>
              <w:rPr>
                <w:sz w:val="26"/>
                <w:szCs w:val="26"/>
                <w:lang w:val="vi-VN"/>
              </w:rPr>
              <w:t>2.1</w:t>
            </w:r>
            <w:r>
              <w:rPr>
                <w:sz w:val="26"/>
                <w:szCs w:val="26"/>
              </w:rPr>
              <w:t>: Phân tích tương quan</w:t>
            </w:r>
            <w:r>
              <w:rPr>
                <w:sz w:val="26"/>
                <w:szCs w:val="26"/>
              </w:rPr>
              <w:tab/>
            </w:r>
            <w:r w:rsidR="00B21062">
              <w:rPr>
                <w:sz w:val="26"/>
                <w:szCs w:val="26"/>
                <w:lang w:val="vi-VN"/>
              </w:rPr>
              <w:t>6</w:t>
            </w:r>
          </w:hyperlink>
        </w:p>
        <w:p w14:paraId="4335318F" w14:textId="51E9042D" w:rsidR="00332399" w:rsidRDefault="00000000" w:rsidP="00B21062">
          <w:pPr>
            <w:pStyle w:val="TOC1"/>
            <w:tabs>
              <w:tab w:val="right" w:leader="dot" w:pos="9071"/>
            </w:tabs>
            <w:spacing w:after="0" w:line="312" w:lineRule="auto"/>
          </w:pPr>
          <w:hyperlink w:anchor="_Toc31745" w:history="1">
            <w:r>
              <w:rPr>
                <w:sz w:val="26"/>
                <w:szCs w:val="26"/>
              </w:rPr>
              <w:t>Bảng 2</w:t>
            </w:r>
            <w:r>
              <w:rPr>
                <w:sz w:val="26"/>
                <w:szCs w:val="26"/>
                <w:lang w:val="vi-VN"/>
              </w:rPr>
              <w:t>.2</w:t>
            </w:r>
            <w:r>
              <w:rPr>
                <w:sz w:val="26"/>
                <w:szCs w:val="26"/>
              </w:rPr>
              <w:t>: Kết quả ước lượng</w:t>
            </w:r>
            <w:r>
              <w:rPr>
                <w:sz w:val="26"/>
                <w:szCs w:val="26"/>
              </w:rPr>
              <w:tab/>
            </w:r>
            <w:r w:rsidR="00B21062">
              <w:rPr>
                <w:sz w:val="26"/>
                <w:szCs w:val="26"/>
                <w:lang w:val="vi-VN"/>
              </w:rPr>
              <w:t>6</w:t>
            </w:r>
          </w:hyperlink>
        </w:p>
        <w:p w14:paraId="6ABB0640" w14:textId="77777777" w:rsidR="00332399" w:rsidRDefault="00000000" w:rsidP="00B21062">
          <w:pPr>
            <w:spacing w:line="312" w:lineRule="auto"/>
          </w:pPr>
          <w:r>
            <w:rPr>
              <w:bCs/>
              <w:szCs w:val="28"/>
            </w:rPr>
            <w:fldChar w:fldCharType="end"/>
          </w:r>
        </w:p>
        <w:p w14:paraId="23EBB425" w14:textId="77777777" w:rsidR="00332399" w:rsidRDefault="00000000" w:rsidP="00B21062">
          <w:pPr>
            <w:spacing w:line="312" w:lineRule="auto"/>
            <w:jc w:val="center"/>
            <w:rPr>
              <w:b/>
              <w:bCs/>
              <w:szCs w:val="28"/>
            </w:rPr>
          </w:pPr>
        </w:p>
      </w:sdtContent>
    </w:sdt>
    <w:p w14:paraId="246AC2B0" w14:textId="77777777" w:rsidR="00332399" w:rsidRDefault="00332399" w:rsidP="00B21062">
      <w:pPr>
        <w:spacing w:line="312" w:lineRule="auto"/>
        <w:jc w:val="center"/>
        <w:rPr>
          <w:b/>
          <w:bCs/>
          <w:szCs w:val="28"/>
        </w:rPr>
        <w:sectPr w:rsidR="00332399">
          <w:pgSz w:w="11906" w:h="16838"/>
          <w:pgMar w:top="1134" w:right="1134" w:bottom="1134" w:left="1701" w:header="720" w:footer="720" w:gutter="0"/>
          <w:cols w:space="708"/>
          <w:docGrid w:linePitch="360"/>
        </w:sectPr>
      </w:pPr>
    </w:p>
    <w:p w14:paraId="2EBBAC36" w14:textId="77777777" w:rsidR="00332399" w:rsidRDefault="00000000" w:rsidP="00B21062">
      <w:pPr>
        <w:spacing w:line="312" w:lineRule="auto"/>
        <w:jc w:val="center"/>
        <w:rPr>
          <w:b/>
          <w:bCs/>
          <w:sz w:val="28"/>
          <w:szCs w:val="28"/>
        </w:rPr>
      </w:pPr>
      <w:r>
        <w:rPr>
          <w:b/>
          <w:bCs/>
          <w:sz w:val="28"/>
          <w:szCs w:val="28"/>
        </w:rPr>
        <w:lastRenderedPageBreak/>
        <w:t>NGHIÊN CỨU TÁC ĐỘNG CỦA HÀNH XỬ THEO KINH NGHIỆM ĐẾN QUYẾT ĐỊNH MUA CỔ PHIẾU CỦA CÁC NHÀ ĐẦU TƯ CÁ NHÂN TẠI VIỆT NAM</w:t>
      </w:r>
    </w:p>
    <w:p w14:paraId="70CA5806" w14:textId="77777777" w:rsidR="00332399" w:rsidRDefault="00000000" w:rsidP="00B21062">
      <w:pPr>
        <w:spacing w:line="312" w:lineRule="auto"/>
        <w:jc w:val="both"/>
        <w:outlineLvl w:val="0"/>
        <w:rPr>
          <w:sz w:val="26"/>
          <w:szCs w:val="26"/>
        </w:rPr>
      </w:pPr>
      <w:bookmarkStart w:id="0" w:name="_Toc23179"/>
      <w:bookmarkStart w:id="1" w:name="_Toc31985"/>
      <w:bookmarkStart w:id="2" w:name="_Toc19651"/>
      <w:r>
        <w:rPr>
          <w:b/>
          <w:bCs/>
          <w:sz w:val="26"/>
          <w:szCs w:val="26"/>
        </w:rPr>
        <w:t>Tóm tắt</w:t>
      </w:r>
      <w:bookmarkEnd w:id="0"/>
      <w:bookmarkEnd w:id="1"/>
      <w:bookmarkEnd w:id="2"/>
    </w:p>
    <w:p w14:paraId="1D9FD82A" w14:textId="77777777" w:rsidR="00332399" w:rsidRDefault="00000000" w:rsidP="00B21062">
      <w:pPr>
        <w:spacing w:line="312" w:lineRule="auto"/>
        <w:jc w:val="both"/>
        <w:rPr>
          <w:i/>
          <w:iCs/>
          <w:sz w:val="26"/>
          <w:szCs w:val="26"/>
        </w:rPr>
      </w:pPr>
      <w:r>
        <w:rPr>
          <w:i/>
          <w:iCs/>
          <w:sz w:val="26"/>
          <w:szCs w:val="26"/>
        </w:rPr>
        <w:t xml:space="preserve">Bài viết nhằm đánh giá tác động của ba yếu tố thuộc thiên lệch tâm lý hành xử theo kinh nghiệm là neo tham chiếu và hiệu chỉnh (anchoring and adjustment), tính đại diện (representativeness) và thiên vị sẵn có (availability bias) đến quyết định đầu tư cổ phiếu của các nhà đầu tư. Để thực hiện các nhiệm vụ nghiên cứu đề ra, tác giả đã sử dụng các phương pháp nghiên cứu sau: Phương pháp nghiên cứu tại bàn: nhằm xác định khoảng trống nghiên cứu, khung phân tích. Phương pháp nghiên cứu định lượng: tác giả sử dụng hồi quy đa biến cho các dữ liệu thu thập được từ 200 nhà đầu tư trong khoảng thời gian tháng 05/2024- 08/2024. Bên cạnh đó bài viết cũng so sánh mức độ ảnh hưởng của các yếu tố trên theo các tiêu thức về nhân khẩu học như thu nhập, học vấn, kinh nghiệm đầu tư và vị trí địa lý. </w:t>
      </w:r>
    </w:p>
    <w:p w14:paraId="18349203" w14:textId="77777777" w:rsidR="00332399" w:rsidRDefault="00000000" w:rsidP="00B21062">
      <w:pPr>
        <w:spacing w:line="312" w:lineRule="auto"/>
        <w:jc w:val="both"/>
        <w:rPr>
          <w:i/>
          <w:iCs/>
          <w:sz w:val="26"/>
          <w:szCs w:val="26"/>
        </w:rPr>
      </w:pPr>
      <w:r>
        <w:rPr>
          <w:i/>
          <w:iCs/>
          <w:sz w:val="26"/>
          <w:szCs w:val="26"/>
        </w:rPr>
        <w:t>(Bài viết sử dụng cách viết số thập phân theo chuẩn quốc tế)</w:t>
      </w:r>
    </w:p>
    <w:p w14:paraId="33D22CE5" w14:textId="77777777" w:rsidR="00332399" w:rsidRDefault="00000000" w:rsidP="00B21062">
      <w:pPr>
        <w:spacing w:line="312" w:lineRule="auto"/>
        <w:rPr>
          <w:i/>
          <w:iCs/>
          <w:sz w:val="26"/>
          <w:szCs w:val="26"/>
        </w:rPr>
      </w:pPr>
      <w:r>
        <w:rPr>
          <w:b/>
          <w:bCs/>
          <w:sz w:val="26"/>
          <w:szCs w:val="26"/>
        </w:rPr>
        <w:t xml:space="preserve">Từ khóa: </w:t>
      </w:r>
      <w:r>
        <w:rPr>
          <w:i/>
          <w:iCs/>
          <w:sz w:val="26"/>
          <w:szCs w:val="26"/>
        </w:rPr>
        <w:t>Hành xử theo kinh nghiệm, cổ phiếu, nhà đầu tư cá nhân</w:t>
      </w:r>
    </w:p>
    <w:p w14:paraId="211122B0" w14:textId="77777777" w:rsidR="00332399" w:rsidRDefault="00000000" w:rsidP="00B21062">
      <w:pPr>
        <w:spacing w:line="312" w:lineRule="auto"/>
        <w:jc w:val="both"/>
        <w:outlineLvl w:val="0"/>
      </w:pPr>
      <w:bookmarkStart w:id="3" w:name="_Toc15312"/>
      <w:bookmarkStart w:id="4" w:name="_Toc8819"/>
      <w:bookmarkStart w:id="5" w:name="_Toc24692"/>
      <w:r>
        <w:rPr>
          <w:b/>
          <w:bCs/>
          <w:sz w:val="26"/>
          <w:szCs w:val="26"/>
        </w:rPr>
        <w:t>Summary</w:t>
      </w:r>
      <w:bookmarkEnd w:id="3"/>
      <w:bookmarkEnd w:id="4"/>
      <w:bookmarkEnd w:id="5"/>
      <w:r>
        <w:t xml:space="preserve"> </w:t>
      </w:r>
    </w:p>
    <w:p w14:paraId="296C7715" w14:textId="77777777" w:rsidR="00332399" w:rsidRDefault="00000000" w:rsidP="00B21062">
      <w:pPr>
        <w:spacing w:line="312" w:lineRule="auto"/>
        <w:jc w:val="both"/>
        <w:rPr>
          <w:i/>
          <w:iCs/>
          <w:sz w:val="26"/>
          <w:szCs w:val="26"/>
        </w:rPr>
      </w:pPr>
      <w:r>
        <w:rPr>
          <w:i/>
          <w:iCs/>
          <w:sz w:val="26"/>
          <w:szCs w:val="26"/>
        </w:rPr>
        <w:t xml:space="preserve">The article aims to assess the impact of three factors of empirical behavioral bias: anchoring and adjustment, representativeness and availability bias on investors' stock investment decisions. To carry out the proposed research tasks, the author used the following research methods: Desk research method: to identify research gaps and analytical framework. Quantitative research method: the author uses multivariate regression for data collected from 200 investors during the period of May 2024 - August 2024. In addition, the article also compares the level of influence of the above factors according to demographic criteria such as income, education, investment experience and location. </w:t>
      </w:r>
    </w:p>
    <w:p w14:paraId="41211C7F" w14:textId="77777777" w:rsidR="00332399" w:rsidRDefault="00000000" w:rsidP="00B21062">
      <w:pPr>
        <w:spacing w:line="312" w:lineRule="auto"/>
        <w:jc w:val="both"/>
        <w:rPr>
          <w:i/>
          <w:iCs/>
          <w:sz w:val="26"/>
          <w:szCs w:val="26"/>
        </w:rPr>
      </w:pPr>
      <w:r>
        <w:rPr>
          <w:i/>
          <w:iCs/>
          <w:sz w:val="26"/>
          <w:szCs w:val="26"/>
        </w:rPr>
        <w:t>(The article uses international standard decimal writing)</w:t>
      </w:r>
    </w:p>
    <w:p w14:paraId="2E4F12FF" w14:textId="77777777" w:rsidR="00332399" w:rsidRDefault="00000000" w:rsidP="00B21062">
      <w:pPr>
        <w:spacing w:line="312" w:lineRule="auto"/>
        <w:jc w:val="both"/>
        <w:rPr>
          <w:i/>
          <w:iCs/>
          <w:sz w:val="26"/>
          <w:szCs w:val="26"/>
          <w:lang w:val="vi-VN"/>
        </w:rPr>
      </w:pPr>
      <w:r>
        <w:rPr>
          <w:b/>
          <w:bCs/>
          <w:sz w:val="26"/>
          <w:szCs w:val="26"/>
        </w:rPr>
        <w:t xml:space="preserve">Keywords: </w:t>
      </w:r>
      <w:r>
        <w:rPr>
          <w:i/>
          <w:iCs/>
          <w:sz w:val="26"/>
          <w:szCs w:val="26"/>
        </w:rPr>
        <w:t>Heuristics, stocks, individual investors</w:t>
      </w:r>
    </w:p>
    <w:p w14:paraId="18CD73BB" w14:textId="77777777" w:rsidR="00B21062" w:rsidRPr="00B21062" w:rsidRDefault="00B21062" w:rsidP="00B21062">
      <w:pPr>
        <w:spacing w:line="312" w:lineRule="auto"/>
        <w:jc w:val="both"/>
        <w:rPr>
          <w:i/>
          <w:iCs/>
          <w:sz w:val="26"/>
          <w:szCs w:val="26"/>
          <w:lang w:val="vi-VN"/>
        </w:rPr>
      </w:pPr>
    </w:p>
    <w:p w14:paraId="2A9898D4" w14:textId="77777777" w:rsidR="00332399" w:rsidRDefault="00000000" w:rsidP="00B21062">
      <w:pPr>
        <w:pStyle w:val="Heading1"/>
        <w:spacing w:line="312" w:lineRule="auto"/>
      </w:pPr>
      <w:bookmarkStart w:id="6" w:name="_Toc32739"/>
      <w:bookmarkStart w:id="7" w:name="_Toc8911"/>
      <w:bookmarkStart w:id="8" w:name="_Toc7779"/>
      <w:r>
        <w:lastRenderedPageBreak/>
        <w:t>1. MỞ ĐẦU</w:t>
      </w:r>
      <w:bookmarkEnd w:id="6"/>
      <w:bookmarkEnd w:id="7"/>
      <w:bookmarkEnd w:id="8"/>
    </w:p>
    <w:p w14:paraId="3B2BCED7" w14:textId="4783F8A6" w:rsidR="00332399" w:rsidRPr="00B21062" w:rsidRDefault="00000000" w:rsidP="00B21062">
      <w:pPr>
        <w:spacing w:line="312" w:lineRule="auto"/>
        <w:jc w:val="both"/>
        <w:rPr>
          <w:sz w:val="26"/>
          <w:szCs w:val="26"/>
          <w:lang w:val="vi-VN"/>
        </w:rPr>
      </w:pPr>
      <w:r>
        <w:rPr>
          <w:sz w:val="26"/>
          <w:szCs w:val="26"/>
        </w:rPr>
        <w:t>Những đường tắt tâm lý (Mental shortcuts) trong quá trình ra quyết định được hiểu là con người đưa ra những quyết định một cách nhanh chóng mà không dựa vào việc thu thập, phân tích kĩ lưỡng thông tin, hay thiên lệch tâm lý này còn được gọi với cái tên “</w:t>
      </w:r>
      <w:r>
        <w:rPr>
          <w:i/>
          <w:iCs/>
          <w:sz w:val="26"/>
          <w:szCs w:val="26"/>
        </w:rPr>
        <w:t>Hành xử theo kinh nghiệm</w:t>
      </w:r>
      <w:r>
        <w:rPr>
          <w:sz w:val="26"/>
          <w:szCs w:val="26"/>
        </w:rPr>
        <w:t>”, trong một số trường hợp, việc đưa ra quyết định đầu tư dựa vào kinh nghiệm có thể sẽ hữu ích, tuy nhiên đa phần đều dẫn đến những quyết định sai lầm (Tversky và Kahneman, 1974) như bán đi vị thế có lợi của mình quá sớm và giữ lại vị thế bất lợi quá lâu (Odean, 1998). Nghiên cứu của Ariely, Loewenstein, và Prelec (2006) cho thấy do việc đánh giá các giá trị cơ bản của tài sản khá khó khăn nên đa phần các nhà đầu tư có xu hướng “neo” quyết định của mình theo giá mua trước đó. Hay nhà đầu tư cũng có xu hướng mua lại những cổ phiếu đã từng được họ mua vì họ đã có sẵn những thông tin trong quá khứ về cổ phiếu đó (Barber, Odean, và Zhu, 2009). Mặc dù những nghiên cứu trên đã chỉ ra sự xuất hiện của thiên lệch tâm lý này trong quyết định giao dịch của nhà đầu tư, nhưng phạm vi mới chỉ tập trung ở các thị trường chứng khoán phát triển, chưa có nghiên cứu nào được thực hiện cho thị trường chứng khoán Việt Nam và cụ thể là ở Sở giao dịch chứng khoán Hà Nội và Sở Giao dịch Thành phố H</w:t>
      </w:r>
      <w:r w:rsidR="00B21062">
        <w:rPr>
          <w:sz w:val="26"/>
          <w:szCs w:val="26"/>
          <w:lang w:val="vi-VN"/>
        </w:rPr>
        <w:t>ồ Chí Minh</w:t>
      </w:r>
      <w:r>
        <w:rPr>
          <w:sz w:val="26"/>
          <w:szCs w:val="26"/>
        </w:rPr>
        <w:t>, và ở các quốc gia khác nhau, hành vi của các nhà đầu tư cũng không giống nhau (Pompian, 2006), bên cạnh đó, các nghiên cứu cũng chỉ dừng ở một yếu tố thuộc thiên lệch tâm lý này như yếu tố tâm lý neo tham chiếu và hiệu chỉnh (Cen, Hilary và Wei, 2013), tính đại diện (Cox và Mouw, 1992) và thiên vị sẵn có (Barber và Odean, 2002). Do đó trong nghiên cứu này, tác giả kết hợp ba yếu tố thuộc thiên lệch tâm lý hành xử theo kinh nghiệm là yếu tố tâm lý neo tham chiếu và hiệu chỉnh, tính đại diện và thiên vị sẵn có để đánh giá một cách chính xác nhất ảnh hưởng của thiên lệch tâm lý này đến quyết định mua cổ phiếu của các nhà đầu tư cá nhân tại Sở giao dịch chứng khoán Hà Nội và thành phố H</w:t>
      </w:r>
      <w:r w:rsidR="00B21062">
        <w:rPr>
          <w:sz w:val="26"/>
          <w:szCs w:val="26"/>
          <w:lang w:val="vi-VN"/>
        </w:rPr>
        <w:t>ồ Chí Minh.</w:t>
      </w:r>
    </w:p>
    <w:p w14:paraId="1AAACF12" w14:textId="77777777" w:rsidR="00332399" w:rsidRDefault="00000000" w:rsidP="00B21062">
      <w:pPr>
        <w:pStyle w:val="Heading1"/>
        <w:spacing w:line="312" w:lineRule="auto"/>
      </w:pPr>
      <w:bookmarkStart w:id="9" w:name="_Toc3000"/>
      <w:bookmarkStart w:id="10" w:name="_Toc7560"/>
      <w:bookmarkStart w:id="11" w:name="_Toc20478"/>
      <w:r>
        <w:t>2. NỘI DUNG NGHIÊN CỨU</w:t>
      </w:r>
      <w:bookmarkEnd w:id="9"/>
      <w:bookmarkEnd w:id="10"/>
      <w:bookmarkEnd w:id="11"/>
    </w:p>
    <w:p w14:paraId="25D6AB86" w14:textId="77777777" w:rsidR="00332399" w:rsidRDefault="00000000" w:rsidP="00B21062">
      <w:pPr>
        <w:pStyle w:val="Heading2"/>
        <w:spacing w:line="312" w:lineRule="auto"/>
      </w:pPr>
      <w:bookmarkStart w:id="12" w:name="_Toc28922"/>
      <w:bookmarkStart w:id="13" w:name="_Toc3747"/>
      <w:bookmarkStart w:id="14" w:name="_Toc13736"/>
      <w:r>
        <w:t>2.1. Phương pháp nghiên cứu</w:t>
      </w:r>
      <w:bookmarkEnd w:id="12"/>
      <w:bookmarkEnd w:id="13"/>
      <w:bookmarkEnd w:id="14"/>
    </w:p>
    <w:p w14:paraId="377F002F" w14:textId="77777777" w:rsidR="00332399" w:rsidRDefault="00000000" w:rsidP="00B21062">
      <w:pPr>
        <w:spacing w:line="312" w:lineRule="auto"/>
        <w:jc w:val="both"/>
        <w:rPr>
          <w:sz w:val="26"/>
          <w:szCs w:val="26"/>
        </w:rPr>
      </w:pPr>
      <w:r>
        <w:rPr>
          <w:sz w:val="26"/>
          <w:szCs w:val="26"/>
        </w:rPr>
        <w:t xml:space="preserve">Để thực hiện các nhiệm vụ nghiên cứu đề ra, tác giả đã sử dụng các phương pháp nghiên cứu sau: </w:t>
      </w:r>
    </w:p>
    <w:p w14:paraId="1E36D003" w14:textId="77777777" w:rsidR="00332399" w:rsidRDefault="00000000" w:rsidP="00B21062">
      <w:pPr>
        <w:spacing w:line="312" w:lineRule="auto"/>
        <w:jc w:val="both"/>
        <w:rPr>
          <w:sz w:val="26"/>
          <w:szCs w:val="26"/>
        </w:rPr>
      </w:pPr>
      <w:r>
        <w:rPr>
          <w:sz w:val="26"/>
          <w:szCs w:val="26"/>
        </w:rPr>
        <w:t xml:space="preserve">Phương pháp nghiên cứu tại bàn: nhằm xác định khoảng trống nghiên cứu, khung phân tích. Theo đó nghiên cứu tập trung phân tích mối quan hệ giữa 3 yếu tố thuộc thiên lệch tâm lý hành xử theo kinh nghiệm: Neo tham chiếu và hiệu chỉnh </w:t>
      </w:r>
      <w:r>
        <w:rPr>
          <w:sz w:val="26"/>
          <w:szCs w:val="26"/>
        </w:rPr>
        <w:lastRenderedPageBreak/>
        <w:t xml:space="preserve">(Anchoring and adjustment), tính đại diện (Representativeness), thiên vị sẵn có (Availability), đến việc ra quyết định mua cổ phiếu của các nhà đầu tư cá nhân. </w:t>
      </w:r>
    </w:p>
    <w:p w14:paraId="37D6BAC3" w14:textId="77777777" w:rsidR="00332399" w:rsidRDefault="00000000" w:rsidP="00B21062">
      <w:pPr>
        <w:spacing w:line="312" w:lineRule="auto"/>
        <w:jc w:val="both"/>
        <w:rPr>
          <w:color w:val="FF0000"/>
          <w:sz w:val="26"/>
          <w:szCs w:val="26"/>
        </w:rPr>
      </w:pPr>
      <w:r>
        <w:rPr>
          <w:sz w:val="26"/>
          <w:szCs w:val="26"/>
        </w:rPr>
        <w:t>Phương pháp nghiên cứu định lượng: tác giả sử dụng hồi quy đa biến cho các dữ liệu thu thập được từ 200 nhà đầu tư tại Sở giao dịch chứng khoán Thành phồ Hà Nội và Thành phố Hồ Chí Minh trong khoảng thời gian tháng 05/2024- 08/2024.</w:t>
      </w:r>
    </w:p>
    <w:p w14:paraId="43C7A31B" w14:textId="77777777" w:rsidR="00332399" w:rsidRDefault="00000000" w:rsidP="00B21062">
      <w:pPr>
        <w:pStyle w:val="Heading2"/>
        <w:spacing w:line="312" w:lineRule="auto"/>
      </w:pPr>
      <w:bookmarkStart w:id="15" w:name="_Toc13344"/>
      <w:bookmarkStart w:id="16" w:name="_Toc22893"/>
      <w:bookmarkStart w:id="17" w:name="_Toc7980"/>
      <w:r>
        <w:t>2.2. Tổng quan các nghiên cứu có liên quan đến đề tài</w:t>
      </w:r>
      <w:bookmarkEnd w:id="15"/>
      <w:bookmarkEnd w:id="16"/>
      <w:bookmarkEnd w:id="17"/>
    </w:p>
    <w:p w14:paraId="5CC91B99" w14:textId="350A8A8C" w:rsidR="00332399" w:rsidRDefault="00000000" w:rsidP="00B21062">
      <w:pPr>
        <w:spacing w:line="312" w:lineRule="auto"/>
        <w:jc w:val="both"/>
        <w:rPr>
          <w:rFonts w:eastAsia="Calibri"/>
          <w:spacing w:val="0"/>
          <w:sz w:val="26"/>
          <w:szCs w:val="26"/>
        </w:rPr>
      </w:pPr>
      <w:r>
        <w:rPr>
          <w:rFonts w:eastAsia="Calibri"/>
          <w:spacing w:val="0"/>
          <w:sz w:val="26"/>
          <w:szCs w:val="26"/>
        </w:rPr>
        <w:t>Neo</w:t>
      </w:r>
      <w:r w:rsidR="00B21062" w:rsidRPr="00B21062">
        <w:rPr>
          <w:rFonts w:eastAsia="Calibri"/>
          <w:spacing w:val="0"/>
          <w:sz w:val="26"/>
          <w:szCs w:val="26"/>
        </w:rPr>
        <w:t xml:space="preserve"> tham chiếu và hiệu chỉnh đề cập đến việc nhà đầu tư không có khả năng kết hợp đầy đủ tác động của các thông tin mới vào việc dự báo, nhà đầu tư thường điều chỉnh các tính toán của mình với các tham chiếu sẵn có để đưa ra kết quả cuối cùng. Các “tham chiếu” này có thể đến từ nhiều nguồn khác nhau, ví dụ như một giá trị đã được đưa ra bởi chuyên gia hoặc một sự kiện trong quá khứ, bất kể đến từ đâu, việc điều chỉnh các ước tính ban đầu dựa theo những tham chiếu này đều khiến các nhà đầu tư đi lệch khỏi các chuẩn mực hợp lý. Do đó neo tham chiếu và hiệu chỉnh có thể khiến các nhà đầu tư không kịp điều chỉnh các ước tính của mình theo thông tin mới và họ tiếp tục tuân thủ chặt chẽ các ước tính ban đầu. </w:t>
      </w:r>
    </w:p>
    <w:p w14:paraId="2A349FCA" w14:textId="77777777" w:rsidR="00332399" w:rsidRDefault="00000000" w:rsidP="00B21062">
      <w:pPr>
        <w:spacing w:line="312" w:lineRule="auto"/>
        <w:jc w:val="both"/>
        <w:rPr>
          <w:rFonts w:eastAsia="Calibri"/>
          <w:spacing w:val="0"/>
          <w:sz w:val="26"/>
          <w:szCs w:val="26"/>
        </w:rPr>
      </w:pPr>
      <w:r>
        <w:rPr>
          <w:rFonts w:eastAsia="Calibri"/>
          <w:spacing w:val="0"/>
          <w:sz w:val="26"/>
          <w:szCs w:val="26"/>
        </w:rPr>
        <w:t xml:space="preserve">Các nghiên cứu về yếu tố neo tham chiếu và hiệu chỉnh trong phạm vi thị trường chứng khoán chưa được rộng rãi, tuy nhiên trong một số lĩnh vực nhất định, các nhà nghiên cứu đã tìm ra được ảnh hưởng của yếu tố này đến các quyết định tài chính. Nghiên cứu của Degeorge, Patel và Zeckhauser (1999) cho thấy các giám đốc điều hành muốn giá trị EPS của cổ phiếu công ty mình vượt qua giá trị EPS của công ty đối thủ, do đó một mức EPS cụ thể sẽ đóng vai trò là điểm neo cho các quyết định điều hành của họ. Hay các nhà đầu tư không sẵn sàng mua thêm khi cổ phiếu đang ở gần hoặc đang ở ngay mức giá cao nhất trong lịch sử chỉ vì họ đã neo mức giá cao nhất trong lịch sử vào quyết định của họ (George và Hwang, 2004). Nghiên cứu của Cen, Hilary, và Wei (2013) cho thấy khi dự báo tình hình lợi nhuận của công ty, các nhà đầu tư bị ràng buộc bởi các chỉ số tài chính trong quá khứ, đối với các công ty có thu nhập dự báo trên mỗi cổ phần được điều chỉnh theo trung bình ngành cao, lợi nhuận cổ phiếu sẽ được kỳ vọng cao hơn so với các công ty có thu nhập dự báo trên mỗi cổ phần được điều chỉnh theo trung bình ngành thấp. Campbell và Sharpe (2009) đã chỉ ra ảnh hưởng của yếu tố này dẫn đến những sai sót nghiêm trọng trong dự báo chỉ số giá tiêu dùng của các chuyên gia, hay William (2010) đã cho thấy giá cổ phiếu bị ảnh hưởng bởi bốn yếu tố, trong đó có yếu tố kinh nghiệm. Mặc dù không tìm thấy nghiên cứu nào về ảnh hưởng trực tiếp của yếu tố neo tham chiếu và hiệu chỉnh đến quyết định đầu tư trên thị trường chứng khoán, nhưng các nghiên cứu về yếu tố này ở trên cũng là những bằng chứng thuyết phục cho thấy ảnh hưởng của nó đến các quyết định của con người. </w:t>
      </w:r>
    </w:p>
    <w:p w14:paraId="3FE2CEBE" w14:textId="77777777" w:rsidR="00332399" w:rsidRDefault="00000000" w:rsidP="00B21062">
      <w:pPr>
        <w:spacing w:line="312" w:lineRule="auto"/>
        <w:jc w:val="both"/>
        <w:rPr>
          <w:rFonts w:eastAsia="Calibri"/>
          <w:spacing w:val="0"/>
          <w:sz w:val="26"/>
          <w:szCs w:val="26"/>
        </w:rPr>
      </w:pPr>
      <w:r>
        <w:rPr>
          <w:rFonts w:eastAsia="Calibri"/>
          <w:spacing w:val="0"/>
          <w:sz w:val="26"/>
          <w:szCs w:val="26"/>
        </w:rPr>
        <w:lastRenderedPageBreak/>
        <w:t xml:space="preserve">Tính đại diện đề cập đến việc các nhà đầu tư đưa ra dự báo dựa trên kinh nghiệm trong quá khứ bằng cách áp dụng các khuôn mẫu, họ có xu hướng coi một đặc điểm là đại diện cho toàn bộ hiện tượng bất kể đặc điểm đó có liên quan đến hiện tượng hay không. Do đó nhà đầu tư thường đưa ra ước tính dựa trên một mẫu dữ liệu không đầy đủ, họ coi một quy mô mẫu nhỏ là đại diện cho toàn bộ nhà đầu tư, mặc dù mẫu đó có thể phản ánh xu hướng hiện tại nhưng không thể mô tả được các đặc tính của toàn bộ nhà đầu tư. Nhìn chung, khi đưa ra quyết định, họ đã bỏ qua các yếu tố khác có liên quan có thể ảnh hưởng đến giá trị của khoản đầu tư, họ thay thế việc tìm hiểu những nghiên cứu chuyên sâu bằng việc dựa vào những khuôn mẫu. Khi so sánh với yếu tố neo tham chiếu và hiệu chỉnh, thiên vị sẵn có, có rất ít các nghiên cứu về tính đại diện, tuy nhiên cũng vẫn có một số nghiên cứu chỉ rõ được vai trò của tính đại diện trong các quyết định tài chính. Nghiên cứu của Johnson (1983) về sự có mặt của yếu tố tính đại diện trong các dự báo về khả năng phá sản của các doanh nghiệp đã chỉ ra rằng các đánh giá về xác suất phá sản bị chi phối bởi các đánh giá khác về dữ liệu tài chính của các doanh nghiệp đó. Nghiên cứu của Cox và Mouw (1992) chỉ ra rằng tính đại diện dẫn đến việc hiểu lầm các khái niệm thống kê ngay cả khi người trả lời nhận thấy được sự bất hợp lý trong câu trả lời, và ngay cả khi họ thay đổi câu trả lời của mình, tính đại diện vẫn gây ảnh hưởng đến câu trả lời của họ. </w:t>
      </w:r>
    </w:p>
    <w:p w14:paraId="7B221800" w14:textId="77777777" w:rsidR="00332399" w:rsidRDefault="00000000" w:rsidP="00B21062">
      <w:pPr>
        <w:spacing w:line="312" w:lineRule="auto"/>
        <w:jc w:val="both"/>
        <w:rPr>
          <w:rFonts w:eastAsia="Calibri"/>
          <w:spacing w:val="0"/>
          <w:sz w:val="26"/>
          <w:szCs w:val="26"/>
        </w:rPr>
      </w:pPr>
      <w:r>
        <w:rPr>
          <w:rFonts w:eastAsia="Calibri"/>
          <w:spacing w:val="0"/>
          <w:sz w:val="26"/>
          <w:szCs w:val="26"/>
        </w:rPr>
        <w:t>Tâm lý thiên vị sẵn có là khi nhà đầu tư chọn lựa các khoản đầu tư dựa trên thông tin sẵn có, như quảng cáo, đề xuất từ cố vấn, hoặc gợi ý từ bạn bè, hay họ thường dễ dàng dựa vào những kinh nghiệm hoặc thông tin trong quá khứ để đánh giá khả năng xảy ra của một sự kiện (Tversky và Kahneman, 1974). Điều này thường dẫn đến việc bỏ qua quá trình nghiên cứu và xác minh, một bước quan trọng trong quá trình đầu tư. Nghiên cứu của Barber và Odean (2002) cho thấy nhà đầu tư có xu hướng mua những cổ phiếu được khuyến nghị hoặc xuất hiện nhiều trên các phương tiện thông tin truyền thông và vô hình chung họ đã giới hạn kiến thức của mình trong những cổ phiếu được khuyến nghị này. Nghiên cứu của Nofsingera và Varmab (2013) tập trung vào khám phá cách thức mà tâm lý thiên vị sẵn có dẫn dắt nhà đầu tư tập trung vào những cổ phiếu quen thuộc, bao gồm cả những cổ phiếu mà họ đã từng sở hữu, nghiên cứu sử dụng thông tin cổ phiếu được niêm yết trên NYSE, AMEX và NASDAQ cho thấy các nhà đầu tư phụ thuộc quá nhiều vào những thông xảy ra tại thời điểm gần nhất, điều này chi phối chủ yếu trong hành động bán cổ phiếu của họ, và ngay cả khi môi trường giao dịch có thông tin tốt hơn, yếu tố tâm lý này vẫn có tác động mạnh đến nhà đầu tư.</w:t>
      </w:r>
    </w:p>
    <w:p w14:paraId="65FFB50E" w14:textId="5B332415" w:rsidR="00332399" w:rsidRDefault="00000000" w:rsidP="00B21062">
      <w:pPr>
        <w:spacing w:line="312" w:lineRule="auto"/>
        <w:jc w:val="both"/>
        <w:rPr>
          <w:rFonts w:eastAsia="Calibri"/>
          <w:spacing w:val="0"/>
          <w:sz w:val="26"/>
          <w:szCs w:val="26"/>
        </w:rPr>
      </w:pPr>
      <w:r>
        <w:rPr>
          <w:rFonts w:eastAsia="Calibri"/>
          <w:spacing w:val="0"/>
          <w:sz w:val="26"/>
          <w:szCs w:val="26"/>
        </w:rPr>
        <w:t xml:space="preserve">Nhìn chung các nghiên cứu đều cho thấy các thiên lệch tâm lý như neo tham chiếu và hiệu chỉnh, tính đại diện và thiên vị sẵn có đều ảnh hưởng đến quyết định giao dịch của nhà đầu tư, bên cạnh đó các nghiên cứu trên cũng chỉ dừng ở phương pháp định tính để </w:t>
      </w:r>
      <w:r>
        <w:rPr>
          <w:rFonts w:eastAsia="Calibri"/>
          <w:spacing w:val="0"/>
          <w:sz w:val="26"/>
          <w:szCs w:val="26"/>
        </w:rPr>
        <w:lastRenderedPageBreak/>
        <w:t>kiểm tra tác động chứ chưa thực hiện bằng định lượng. Do đó nghiên cứu này sẽ sử dụng phương pháp định lượng với bối cảnh Sở giao dịch chứng khoán tại Hà Nội và thành phố H</w:t>
      </w:r>
      <w:r w:rsidR="00B21062">
        <w:rPr>
          <w:rFonts w:eastAsia="Calibri"/>
          <w:spacing w:val="0"/>
          <w:sz w:val="26"/>
          <w:szCs w:val="26"/>
          <w:lang w:val="vi-VN"/>
        </w:rPr>
        <w:t>ồ Chí Minh</w:t>
      </w:r>
      <w:r>
        <w:rPr>
          <w:rFonts w:eastAsia="Calibri"/>
          <w:spacing w:val="0"/>
          <w:sz w:val="26"/>
          <w:szCs w:val="26"/>
        </w:rPr>
        <w:t>.</w:t>
      </w:r>
    </w:p>
    <w:p w14:paraId="1DD1BA12" w14:textId="77777777" w:rsidR="00332399" w:rsidRDefault="00000000" w:rsidP="00B21062">
      <w:pPr>
        <w:pStyle w:val="Heading2"/>
        <w:spacing w:line="312" w:lineRule="auto"/>
      </w:pPr>
      <w:bookmarkStart w:id="18" w:name="_Toc10843"/>
      <w:bookmarkStart w:id="19" w:name="_Toc6388"/>
      <w:bookmarkStart w:id="20" w:name="_Toc13640"/>
      <w:r>
        <w:t>2.3. Mô hình nghiên cứu</w:t>
      </w:r>
      <w:bookmarkEnd w:id="18"/>
      <w:bookmarkEnd w:id="19"/>
      <w:bookmarkEnd w:id="20"/>
    </w:p>
    <w:p w14:paraId="11DC122B" w14:textId="77777777" w:rsidR="00332399" w:rsidRDefault="00000000" w:rsidP="00B21062">
      <w:pPr>
        <w:spacing w:line="312" w:lineRule="auto"/>
        <w:jc w:val="both"/>
        <w:rPr>
          <w:rFonts w:eastAsia="Calibri"/>
          <w:spacing w:val="0"/>
          <w:sz w:val="26"/>
          <w:szCs w:val="26"/>
        </w:rPr>
      </w:pPr>
      <w:r>
        <w:rPr>
          <w:rFonts w:eastAsia="Calibri"/>
          <w:spacing w:val="0"/>
          <w:sz w:val="26"/>
          <w:szCs w:val="26"/>
        </w:rPr>
        <w:t xml:space="preserve">Nghiên cứu này sử dụng hồi quy đa biến dựa theo phương trình (1) với các biến như quyết định mua cổ phiếu (Stock buying decision SB), neo tham chiếu và hiệu chỉnh (AC), tính đại diện (RE) và thiên vị sẵn có (AVA), trong đó các </w:t>
      </w:r>
      <w:r>
        <w:rPr>
          <w:rFonts w:eastAsia="Calibri"/>
          <w:b/>
          <w:bCs/>
          <w:i/>
          <w:iCs/>
          <w:spacing w:val="0"/>
          <w:sz w:val="26"/>
          <w:szCs w:val="26"/>
        </w:rPr>
        <w:t>β</w:t>
      </w:r>
      <w:r>
        <w:rPr>
          <w:rFonts w:eastAsia="Calibri"/>
          <w:b/>
          <w:bCs/>
          <w:i/>
          <w:iCs/>
          <w:spacing w:val="0"/>
          <w:sz w:val="26"/>
          <w:szCs w:val="26"/>
          <w:vertAlign w:val="subscript"/>
        </w:rPr>
        <w:t xml:space="preserve"> </w:t>
      </w:r>
      <w:r>
        <w:rPr>
          <w:rFonts w:eastAsia="Calibri"/>
          <w:spacing w:val="0"/>
          <w:sz w:val="26"/>
          <w:szCs w:val="26"/>
        </w:rPr>
        <w:t>là các hệ số hồi quy:</w:t>
      </w:r>
    </w:p>
    <w:p w14:paraId="42B1B5FE" w14:textId="77777777" w:rsidR="00332399" w:rsidRDefault="00000000" w:rsidP="00B21062">
      <w:pPr>
        <w:spacing w:line="312" w:lineRule="auto"/>
        <w:jc w:val="center"/>
        <w:rPr>
          <w:rFonts w:eastAsia="Calibri"/>
          <w:b/>
          <w:bCs/>
          <w:i/>
          <w:iCs/>
          <w:spacing w:val="0"/>
          <w:sz w:val="26"/>
          <w:szCs w:val="26"/>
        </w:rPr>
      </w:pPr>
      <w:r>
        <w:rPr>
          <w:rFonts w:eastAsia="Calibri"/>
          <w:b/>
          <w:bCs/>
          <w:i/>
          <w:iCs/>
          <w:spacing w:val="0"/>
          <w:sz w:val="26"/>
          <w:szCs w:val="26"/>
        </w:rPr>
        <w:t>SB = β</w:t>
      </w:r>
      <w:r>
        <w:rPr>
          <w:rFonts w:eastAsia="Calibri"/>
          <w:b/>
          <w:bCs/>
          <w:i/>
          <w:iCs/>
          <w:spacing w:val="0"/>
          <w:sz w:val="26"/>
          <w:szCs w:val="26"/>
          <w:vertAlign w:val="subscript"/>
        </w:rPr>
        <w:t xml:space="preserve">0 </w:t>
      </w:r>
      <w:r>
        <w:rPr>
          <w:rFonts w:eastAsia="Calibri"/>
          <w:b/>
          <w:bCs/>
          <w:i/>
          <w:iCs/>
          <w:spacing w:val="0"/>
          <w:sz w:val="26"/>
          <w:szCs w:val="26"/>
        </w:rPr>
        <w:t>+ β</w:t>
      </w:r>
      <w:r>
        <w:rPr>
          <w:rFonts w:eastAsia="Calibri"/>
          <w:b/>
          <w:bCs/>
          <w:i/>
          <w:iCs/>
          <w:spacing w:val="0"/>
          <w:sz w:val="26"/>
          <w:szCs w:val="26"/>
          <w:vertAlign w:val="subscript"/>
        </w:rPr>
        <w:t>1</w:t>
      </w:r>
      <w:r>
        <w:rPr>
          <w:rFonts w:eastAsia="Calibri"/>
          <w:b/>
          <w:bCs/>
          <w:i/>
          <w:iCs/>
          <w:spacing w:val="0"/>
          <w:sz w:val="26"/>
          <w:szCs w:val="26"/>
        </w:rPr>
        <w:t>AC + β</w:t>
      </w:r>
      <w:r>
        <w:rPr>
          <w:rFonts w:eastAsia="Calibri"/>
          <w:b/>
          <w:bCs/>
          <w:i/>
          <w:iCs/>
          <w:spacing w:val="0"/>
          <w:sz w:val="26"/>
          <w:szCs w:val="26"/>
          <w:vertAlign w:val="subscript"/>
        </w:rPr>
        <w:t>2</w:t>
      </w:r>
      <w:r>
        <w:rPr>
          <w:rFonts w:eastAsia="Calibri"/>
          <w:b/>
          <w:bCs/>
          <w:i/>
          <w:iCs/>
          <w:spacing w:val="0"/>
          <w:sz w:val="26"/>
          <w:szCs w:val="26"/>
        </w:rPr>
        <w:t>RE + β</w:t>
      </w:r>
      <w:r>
        <w:rPr>
          <w:rFonts w:eastAsia="Calibri"/>
          <w:b/>
          <w:bCs/>
          <w:i/>
          <w:iCs/>
          <w:spacing w:val="0"/>
          <w:sz w:val="26"/>
          <w:szCs w:val="26"/>
          <w:vertAlign w:val="subscript"/>
        </w:rPr>
        <w:t>3</w:t>
      </w:r>
      <w:r>
        <w:rPr>
          <w:rFonts w:eastAsia="Calibri"/>
          <w:b/>
          <w:bCs/>
          <w:i/>
          <w:iCs/>
          <w:spacing w:val="0"/>
          <w:sz w:val="26"/>
          <w:szCs w:val="26"/>
        </w:rPr>
        <w:t>AVA + ε (1)</w:t>
      </w:r>
    </w:p>
    <w:p w14:paraId="369F97DB" w14:textId="77777777" w:rsidR="00332399" w:rsidRDefault="00000000" w:rsidP="00B21062">
      <w:pPr>
        <w:spacing w:line="312" w:lineRule="auto"/>
        <w:jc w:val="both"/>
        <w:rPr>
          <w:rFonts w:eastAsia="Calibri"/>
          <w:spacing w:val="0"/>
          <w:sz w:val="26"/>
          <w:szCs w:val="26"/>
        </w:rPr>
      </w:pPr>
      <w:r>
        <w:rPr>
          <w:rFonts w:eastAsia="Calibri"/>
          <w:spacing w:val="0"/>
          <w:sz w:val="26"/>
          <w:szCs w:val="26"/>
        </w:rPr>
        <w:t>Ngoài mô hình (1) là mô hình ước lượng chính trong đó quyết định mua cổ phiếu được hồi quy theo ba yếu tố thuộc thiên lệch hành xử theo kinh nghiệm, tác giả thực hiện thêm 2 mô hình hồi quy để đánh giá xem liệu tác động của thiên lệch tâm lý này có khác nhau giữa các mức thu nhập và kinh nghiệm của nhà đầu tư hay không. Ảnh hưởng của thiên lệch tâm lý này đến quyết định mua cổ phiếu của các nhóm thu nhập khác nhau được phân tích thông qua mô hình (2):</w:t>
      </w:r>
    </w:p>
    <w:p w14:paraId="23918A72" w14:textId="77777777" w:rsidR="00332399" w:rsidRDefault="00000000" w:rsidP="00B21062">
      <w:pPr>
        <w:spacing w:line="312" w:lineRule="auto"/>
        <w:jc w:val="center"/>
        <w:rPr>
          <w:rFonts w:eastAsia="Calibri"/>
          <w:b/>
          <w:bCs/>
          <w:i/>
          <w:iCs/>
          <w:spacing w:val="0"/>
          <w:sz w:val="26"/>
          <w:szCs w:val="26"/>
        </w:rPr>
      </w:pPr>
      <w:r>
        <w:rPr>
          <w:rFonts w:eastAsia="Calibri"/>
          <w:b/>
          <w:bCs/>
          <w:i/>
          <w:iCs/>
          <w:spacing w:val="0"/>
          <w:sz w:val="26"/>
          <w:szCs w:val="26"/>
        </w:rPr>
        <w:t>SB = β</w:t>
      </w:r>
      <w:r>
        <w:rPr>
          <w:rFonts w:eastAsia="Calibri"/>
          <w:b/>
          <w:bCs/>
          <w:i/>
          <w:iCs/>
          <w:spacing w:val="0"/>
          <w:sz w:val="26"/>
          <w:szCs w:val="26"/>
          <w:vertAlign w:val="subscript"/>
        </w:rPr>
        <w:t xml:space="preserve">0 </w:t>
      </w:r>
      <w:r>
        <w:rPr>
          <w:rFonts w:eastAsia="Calibri"/>
          <w:b/>
          <w:bCs/>
          <w:i/>
          <w:iCs/>
          <w:spacing w:val="0"/>
          <w:sz w:val="26"/>
          <w:szCs w:val="26"/>
        </w:rPr>
        <w:t>+ β</w:t>
      </w:r>
      <w:r>
        <w:rPr>
          <w:rFonts w:eastAsia="Calibri"/>
          <w:b/>
          <w:bCs/>
          <w:i/>
          <w:iCs/>
          <w:spacing w:val="0"/>
          <w:sz w:val="26"/>
          <w:szCs w:val="26"/>
          <w:vertAlign w:val="subscript"/>
        </w:rPr>
        <w:t>1</w:t>
      </w:r>
      <w:r>
        <w:rPr>
          <w:rFonts w:eastAsia="Calibri"/>
          <w:b/>
          <w:bCs/>
          <w:i/>
          <w:iCs/>
          <w:spacing w:val="0"/>
          <w:sz w:val="26"/>
          <w:szCs w:val="26"/>
        </w:rPr>
        <w:t>AC + β</w:t>
      </w:r>
      <w:r>
        <w:rPr>
          <w:rFonts w:eastAsia="Calibri"/>
          <w:b/>
          <w:bCs/>
          <w:i/>
          <w:iCs/>
          <w:spacing w:val="0"/>
          <w:sz w:val="26"/>
          <w:szCs w:val="26"/>
          <w:vertAlign w:val="subscript"/>
        </w:rPr>
        <w:t>2</w:t>
      </w:r>
      <w:r>
        <w:rPr>
          <w:rFonts w:eastAsia="Calibri"/>
          <w:b/>
          <w:bCs/>
          <w:i/>
          <w:iCs/>
          <w:spacing w:val="0"/>
          <w:sz w:val="26"/>
          <w:szCs w:val="26"/>
        </w:rPr>
        <w:t>RE + β</w:t>
      </w:r>
      <w:r>
        <w:rPr>
          <w:rFonts w:eastAsia="Calibri"/>
          <w:b/>
          <w:bCs/>
          <w:i/>
          <w:iCs/>
          <w:spacing w:val="0"/>
          <w:sz w:val="26"/>
          <w:szCs w:val="26"/>
          <w:vertAlign w:val="subscript"/>
        </w:rPr>
        <w:t>3</w:t>
      </w:r>
      <w:r>
        <w:rPr>
          <w:rFonts w:eastAsia="Calibri"/>
          <w:b/>
          <w:bCs/>
          <w:i/>
          <w:iCs/>
          <w:spacing w:val="0"/>
          <w:sz w:val="26"/>
          <w:szCs w:val="26"/>
        </w:rPr>
        <w:t>AVA + β</w:t>
      </w:r>
      <w:r>
        <w:rPr>
          <w:rFonts w:eastAsia="Calibri"/>
          <w:b/>
          <w:bCs/>
          <w:i/>
          <w:iCs/>
          <w:spacing w:val="0"/>
          <w:sz w:val="26"/>
          <w:szCs w:val="26"/>
          <w:vertAlign w:val="subscript"/>
        </w:rPr>
        <w:t>4</w:t>
      </w:r>
      <w:r>
        <w:rPr>
          <w:rFonts w:eastAsia="Calibri"/>
          <w:b/>
          <w:bCs/>
          <w:i/>
          <w:iCs/>
          <w:spacing w:val="0"/>
          <w:sz w:val="26"/>
          <w:szCs w:val="26"/>
        </w:rPr>
        <w:t>AC*D(Inc) + β</w:t>
      </w:r>
      <w:r>
        <w:rPr>
          <w:rFonts w:eastAsia="Calibri"/>
          <w:b/>
          <w:bCs/>
          <w:i/>
          <w:iCs/>
          <w:spacing w:val="0"/>
          <w:sz w:val="26"/>
          <w:szCs w:val="26"/>
          <w:vertAlign w:val="subscript"/>
        </w:rPr>
        <w:t>5</w:t>
      </w:r>
      <w:r>
        <w:rPr>
          <w:rFonts w:eastAsia="Calibri"/>
          <w:b/>
          <w:bCs/>
          <w:i/>
          <w:iCs/>
          <w:spacing w:val="0"/>
          <w:sz w:val="26"/>
          <w:szCs w:val="26"/>
        </w:rPr>
        <w:t xml:space="preserve">RE*D(Inc) </w:t>
      </w:r>
    </w:p>
    <w:p w14:paraId="217901BF" w14:textId="77777777" w:rsidR="00332399" w:rsidRDefault="00000000" w:rsidP="00B21062">
      <w:pPr>
        <w:spacing w:line="312" w:lineRule="auto"/>
        <w:jc w:val="center"/>
        <w:rPr>
          <w:rFonts w:eastAsia="Calibri"/>
          <w:b/>
          <w:bCs/>
          <w:i/>
          <w:iCs/>
          <w:spacing w:val="0"/>
          <w:sz w:val="26"/>
          <w:szCs w:val="26"/>
        </w:rPr>
      </w:pPr>
      <w:r>
        <w:rPr>
          <w:rFonts w:eastAsia="Calibri"/>
          <w:b/>
          <w:bCs/>
          <w:i/>
          <w:iCs/>
          <w:spacing w:val="0"/>
          <w:sz w:val="26"/>
          <w:szCs w:val="26"/>
        </w:rPr>
        <w:t>+ β</w:t>
      </w:r>
      <w:r>
        <w:rPr>
          <w:rFonts w:eastAsia="Calibri"/>
          <w:b/>
          <w:bCs/>
          <w:i/>
          <w:iCs/>
          <w:spacing w:val="0"/>
          <w:sz w:val="26"/>
          <w:szCs w:val="26"/>
          <w:vertAlign w:val="subscript"/>
        </w:rPr>
        <w:t>6</w:t>
      </w:r>
      <w:r>
        <w:rPr>
          <w:rFonts w:eastAsia="Calibri"/>
          <w:b/>
          <w:bCs/>
          <w:i/>
          <w:iCs/>
          <w:spacing w:val="0"/>
          <w:sz w:val="26"/>
          <w:szCs w:val="26"/>
        </w:rPr>
        <w:t>AVA*D(Inc) + ε  (2)</w:t>
      </w:r>
    </w:p>
    <w:p w14:paraId="3A44B70E" w14:textId="77777777" w:rsidR="00332399" w:rsidRDefault="00000000" w:rsidP="00B21062">
      <w:pPr>
        <w:spacing w:line="312" w:lineRule="auto"/>
        <w:jc w:val="both"/>
        <w:rPr>
          <w:rFonts w:eastAsia="Calibri"/>
          <w:spacing w:val="0"/>
          <w:sz w:val="26"/>
          <w:szCs w:val="26"/>
        </w:rPr>
      </w:pPr>
      <w:r>
        <w:rPr>
          <w:rFonts w:eastAsia="Calibri"/>
          <w:spacing w:val="0"/>
          <w:sz w:val="26"/>
          <w:szCs w:val="26"/>
        </w:rPr>
        <w:t>Trong đó D(Inc) là biến giả có giá trị bằng 1 nếu thu nhập của người được phỏng vấn cao hơn mức thu nhập trung vị và có giá trị bằng 0 nếu nhỏ hơn mức thu nhập đó. Ảnh hưởng của thiên lệch tâm lý này đến quyết định mua cổ phiếu của nhà đầu tư với số năm kinh nghiệm đầu tư khác nhau ở mô hình (3):</w:t>
      </w:r>
    </w:p>
    <w:p w14:paraId="792F768A" w14:textId="77777777" w:rsidR="00332399" w:rsidRDefault="00000000" w:rsidP="00B21062">
      <w:pPr>
        <w:spacing w:line="312" w:lineRule="auto"/>
        <w:jc w:val="center"/>
        <w:rPr>
          <w:rFonts w:eastAsia="Calibri"/>
          <w:b/>
          <w:bCs/>
          <w:i/>
          <w:iCs/>
          <w:spacing w:val="0"/>
          <w:sz w:val="26"/>
          <w:szCs w:val="26"/>
        </w:rPr>
      </w:pPr>
      <w:r>
        <w:rPr>
          <w:rFonts w:eastAsia="Calibri"/>
          <w:b/>
          <w:bCs/>
          <w:i/>
          <w:iCs/>
          <w:spacing w:val="0"/>
          <w:sz w:val="26"/>
          <w:szCs w:val="26"/>
        </w:rPr>
        <w:t>SB = β</w:t>
      </w:r>
      <w:r>
        <w:rPr>
          <w:rFonts w:eastAsia="Calibri"/>
          <w:b/>
          <w:bCs/>
          <w:i/>
          <w:iCs/>
          <w:spacing w:val="0"/>
          <w:sz w:val="26"/>
          <w:szCs w:val="26"/>
          <w:vertAlign w:val="subscript"/>
        </w:rPr>
        <w:t xml:space="preserve">0 </w:t>
      </w:r>
      <w:r>
        <w:rPr>
          <w:rFonts w:eastAsia="Calibri"/>
          <w:b/>
          <w:bCs/>
          <w:i/>
          <w:iCs/>
          <w:spacing w:val="0"/>
          <w:sz w:val="26"/>
          <w:szCs w:val="26"/>
        </w:rPr>
        <w:t>+ β</w:t>
      </w:r>
      <w:r>
        <w:rPr>
          <w:rFonts w:eastAsia="Calibri"/>
          <w:b/>
          <w:bCs/>
          <w:i/>
          <w:iCs/>
          <w:spacing w:val="0"/>
          <w:sz w:val="26"/>
          <w:szCs w:val="26"/>
          <w:vertAlign w:val="subscript"/>
        </w:rPr>
        <w:t>1</w:t>
      </w:r>
      <w:r>
        <w:rPr>
          <w:rFonts w:eastAsia="Calibri"/>
          <w:b/>
          <w:bCs/>
          <w:i/>
          <w:iCs/>
          <w:spacing w:val="0"/>
          <w:sz w:val="26"/>
          <w:szCs w:val="26"/>
        </w:rPr>
        <w:t>AC + β</w:t>
      </w:r>
      <w:r>
        <w:rPr>
          <w:rFonts w:eastAsia="Calibri"/>
          <w:b/>
          <w:bCs/>
          <w:i/>
          <w:iCs/>
          <w:spacing w:val="0"/>
          <w:sz w:val="26"/>
          <w:szCs w:val="26"/>
          <w:vertAlign w:val="subscript"/>
        </w:rPr>
        <w:t>2</w:t>
      </w:r>
      <w:r>
        <w:rPr>
          <w:rFonts w:eastAsia="Calibri"/>
          <w:b/>
          <w:bCs/>
          <w:i/>
          <w:iCs/>
          <w:spacing w:val="0"/>
          <w:sz w:val="26"/>
          <w:szCs w:val="26"/>
        </w:rPr>
        <w:t>RE + β</w:t>
      </w:r>
      <w:r>
        <w:rPr>
          <w:rFonts w:eastAsia="Calibri"/>
          <w:b/>
          <w:bCs/>
          <w:i/>
          <w:iCs/>
          <w:spacing w:val="0"/>
          <w:sz w:val="26"/>
          <w:szCs w:val="26"/>
          <w:vertAlign w:val="subscript"/>
        </w:rPr>
        <w:t>3</w:t>
      </w:r>
      <w:r>
        <w:rPr>
          <w:rFonts w:eastAsia="Calibri"/>
          <w:b/>
          <w:bCs/>
          <w:i/>
          <w:iCs/>
          <w:spacing w:val="0"/>
          <w:sz w:val="26"/>
          <w:szCs w:val="26"/>
        </w:rPr>
        <w:t xml:space="preserve">AVA </w:t>
      </w:r>
      <w:r>
        <w:rPr>
          <w:rFonts w:eastAsia="Calibri"/>
          <w:b/>
          <w:bCs/>
          <w:i/>
          <w:iCs/>
          <w:spacing w:val="0"/>
          <w:sz w:val="26"/>
          <w:szCs w:val="26"/>
          <w:vertAlign w:val="subscript"/>
        </w:rPr>
        <w:t xml:space="preserve"> </w:t>
      </w:r>
      <w:r>
        <w:rPr>
          <w:rFonts w:eastAsia="Calibri"/>
          <w:b/>
          <w:bCs/>
          <w:i/>
          <w:iCs/>
          <w:spacing w:val="0"/>
          <w:sz w:val="26"/>
          <w:szCs w:val="26"/>
        </w:rPr>
        <w:t>+ β</w:t>
      </w:r>
      <w:r>
        <w:rPr>
          <w:rFonts w:eastAsia="Calibri"/>
          <w:b/>
          <w:bCs/>
          <w:i/>
          <w:iCs/>
          <w:spacing w:val="0"/>
          <w:sz w:val="26"/>
          <w:szCs w:val="26"/>
          <w:vertAlign w:val="subscript"/>
        </w:rPr>
        <w:t>4</w:t>
      </w:r>
      <w:r>
        <w:rPr>
          <w:rFonts w:eastAsia="Calibri"/>
          <w:b/>
          <w:bCs/>
          <w:i/>
          <w:iCs/>
          <w:spacing w:val="0"/>
          <w:sz w:val="26"/>
          <w:szCs w:val="26"/>
        </w:rPr>
        <w:t>AC*D(Exp) + β</w:t>
      </w:r>
      <w:r>
        <w:rPr>
          <w:rFonts w:eastAsia="Calibri"/>
          <w:b/>
          <w:bCs/>
          <w:i/>
          <w:iCs/>
          <w:spacing w:val="0"/>
          <w:sz w:val="26"/>
          <w:szCs w:val="26"/>
          <w:vertAlign w:val="subscript"/>
        </w:rPr>
        <w:t>5</w:t>
      </w:r>
      <w:r>
        <w:rPr>
          <w:rFonts w:eastAsia="Calibri"/>
          <w:b/>
          <w:bCs/>
          <w:i/>
          <w:iCs/>
          <w:spacing w:val="0"/>
          <w:sz w:val="26"/>
          <w:szCs w:val="26"/>
        </w:rPr>
        <w:t xml:space="preserve">RE*D(Exp) </w:t>
      </w:r>
    </w:p>
    <w:p w14:paraId="2CE37FE6" w14:textId="77777777" w:rsidR="00332399" w:rsidRDefault="00000000" w:rsidP="00B21062">
      <w:pPr>
        <w:spacing w:line="312" w:lineRule="auto"/>
        <w:jc w:val="center"/>
        <w:rPr>
          <w:rFonts w:eastAsia="Calibri"/>
          <w:b/>
          <w:bCs/>
          <w:i/>
          <w:iCs/>
          <w:spacing w:val="0"/>
          <w:sz w:val="26"/>
          <w:szCs w:val="26"/>
        </w:rPr>
      </w:pPr>
      <w:r>
        <w:rPr>
          <w:rFonts w:eastAsia="Calibri"/>
          <w:b/>
          <w:bCs/>
          <w:i/>
          <w:iCs/>
          <w:spacing w:val="0"/>
          <w:sz w:val="26"/>
          <w:szCs w:val="26"/>
        </w:rPr>
        <w:t>+ β</w:t>
      </w:r>
      <w:r>
        <w:rPr>
          <w:rFonts w:eastAsia="Calibri"/>
          <w:b/>
          <w:bCs/>
          <w:i/>
          <w:iCs/>
          <w:spacing w:val="0"/>
          <w:sz w:val="26"/>
          <w:szCs w:val="26"/>
          <w:vertAlign w:val="subscript"/>
        </w:rPr>
        <w:t>6</w:t>
      </w:r>
      <w:r>
        <w:rPr>
          <w:rFonts w:eastAsia="Calibri"/>
          <w:b/>
          <w:bCs/>
          <w:i/>
          <w:iCs/>
          <w:spacing w:val="0"/>
          <w:sz w:val="26"/>
          <w:szCs w:val="26"/>
        </w:rPr>
        <w:t>AVA*D(Exp) + ε  (3)</w:t>
      </w:r>
    </w:p>
    <w:p w14:paraId="2EAE6675" w14:textId="6DF4837F" w:rsidR="00332399" w:rsidRDefault="00000000" w:rsidP="00B21062">
      <w:pPr>
        <w:spacing w:line="312" w:lineRule="auto"/>
        <w:jc w:val="both"/>
        <w:rPr>
          <w:rFonts w:eastAsia="Calibri"/>
          <w:spacing w:val="0"/>
          <w:sz w:val="26"/>
          <w:szCs w:val="26"/>
        </w:rPr>
      </w:pPr>
      <w:r>
        <w:rPr>
          <w:rFonts w:eastAsia="Calibri"/>
          <w:spacing w:val="0"/>
          <w:sz w:val="26"/>
          <w:szCs w:val="26"/>
        </w:rPr>
        <w:t>Trong đó D(Exp) là biến giả có giá trị bằng 1 nếu kinh nghiệm của người được phỏng vấn cao hơn số năm kinh nghiệm trung vị và có giá trị bằng 0 trong trường hợp ngược lại. Ngoài ra, để nghiên cứu liệu ảnh hưởng của các thiên lệch tâm lý này đến các nhà đầu tư ở Hà Nội và thành phố H</w:t>
      </w:r>
      <w:r w:rsidR="00B21062">
        <w:rPr>
          <w:rFonts w:eastAsia="Calibri"/>
          <w:spacing w:val="0"/>
          <w:sz w:val="26"/>
          <w:szCs w:val="26"/>
          <w:lang w:val="vi-VN"/>
        </w:rPr>
        <w:t>ồ Chí Minh</w:t>
      </w:r>
      <w:r>
        <w:rPr>
          <w:rFonts w:eastAsia="Calibri"/>
          <w:spacing w:val="0"/>
          <w:sz w:val="26"/>
          <w:szCs w:val="26"/>
        </w:rPr>
        <w:t xml:space="preserve"> có khác nhau không, tác sử dụng mô hình (4):</w:t>
      </w:r>
    </w:p>
    <w:p w14:paraId="739D706A" w14:textId="77777777" w:rsidR="00332399" w:rsidRDefault="00000000" w:rsidP="00B21062">
      <w:pPr>
        <w:spacing w:line="312" w:lineRule="auto"/>
        <w:jc w:val="center"/>
        <w:rPr>
          <w:rFonts w:eastAsia="Calibri"/>
          <w:b/>
          <w:bCs/>
          <w:i/>
          <w:iCs/>
          <w:spacing w:val="0"/>
          <w:sz w:val="26"/>
          <w:szCs w:val="26"/>
        </w:rPr>
      </w:pPr>
      <w:r>
        <w:rPr>
          <w:rFonts w:eastAsia="Calibri"/>
          <w:b/>
          <w:bCs/>
          <w:i/>
          <w:iCs/>
          <w:spacing w:val="0"/>
          <w:sz w:val="26"/>
          <w:szCs w:val="26"/>
        </w:rPr>
        <w:t>SB = β</w:t>
      </w:r>
      <w:r>
        <w:rPr>
          <w:rFonts w:eastAsia="Calibri"/>
          <w:b/>
          <w:bCs/>
          <w:i/>
          <w:iCs/>
          <w:spacing w:val="0"/>
          <w:sz w:val="26"/>
          <w:szCs w:val="26"/>
          <w:vertAlign w:val="subscript"/>
        </w:rPr>
        <w:t xml:space="preserve">0 </w:t>
      </w:r>
      <w:r>
        <w:rPr>
          <w:rFonts w:eastAsia="Calibri"/>
          <w:b/>
          <w:bCs/>
          <w:i/>
          <w:iCs/>
          <w:spacing w:val="0"/>
          <w:sz w:val="26"/>
          <w:szCs w:val="26"/>
        </w:rPr>
        <w:t>+ β</w:t>
      </w:r>
      <w:r>
        <w:rPr>
          <w:rFonts w:eastAsia="Calibri"/>
          <w:b/>
          <w:bCs/>
          <w:i/>
          <w:iCs/>
          <w:spacing w:val="0"/>
          <w:sz w:val="26"/>
          <w:szCs w:val="26"/>
          <w:vertAlign w:val="subscript"/>
        </w:rPr>
        <w:t>1</w:t>
      </w:r>
      <w:r>
        <w:rPr>
          <w:rFonts w:eastAsia="Calibri"/>
          <w:b/>
          <w:bCs/>
          <w:i/>
          <w:iCs/>
          <w:spacing w:val="0"/>
          <w:sz w:val="26"/>
          <w:szCs w:val="26"/>
        </w:rPr>
        <w:t>AC + β</w:t>
      </w:r>
      <w:r>
        <w:rPr>
          <w:rFonts w:eastAsia="Calibri"/>
          <w:b/>
          <w:bCs/>
          <w:i/>
          <w:iCs/>
          <w:spacing w:val="0"/>
          <w:sz w:val="26"/>
          <w:szCs w:val="26"/>
          <w:vertAlign w:val="subscript"/>
        </w:rPr>
        <w:t>2</w:t>
      </w:r>
      <w:r>
        <w:rPr>
          <w:rFonts w:eastAsia="Calibri"/>
          <w:b/>
          <w:bCs/>
          <w:i/>
          <w:iCs/>
          <w:spacing w:val="0"/>
          <w:sz w:val="26"/>
          <w:szCs w:val="26"/>
        </w:rPr>
        <w:t>RE + β</w:t>
      </w:r>
      <w:r>
        <w:rPr>
          <w:rFonts w:eastAsia="Calibri"/>
          <w:b/>
          <w:bCs/>
          <w:i/>
          <w:iCs/>
          <w:spacing w:val="0"/>
          <w:sz w:val="26"/>
          <w:szCs w:val="26"/>
          <w:vertAlign w:val="subscript"/>
        </w:rPr>
        <w:t>3</w:t>
      </w:r>
      <w:r>
        <w:rPr>
          <w:rFonts w:eastAsia="Calibri"/>
          <w:b/>
          <w:bCs/>
          <w:i/>
          <w:iCs/>
          <w:spacing w:val="0"/>
          <w:sz w:val="26"/>
          <w:szCs w:val="26"/>
        </w:rPr>
        <w:t xml:space="preserve">AVA </w:t>
      </w:r>
      <w:r>
        <w:rPr>
          <w:rFonts w:eastAsia="Calibri"/>
          <w:b/>
          <w:bCs/>
          <w:i/>
          <w:iCs/>
          <w:spacing w:val="0"/>
          <w:sz w:val="26"/>
          <w:szCs w:val="26"/>
          <w:vertAlign w:val="subscript"/>
        </w:rPr>
        <w:t xml:space="preserve"> </w:t>
      </w:r>
      <w:r>
        <w:rPr>
          <w:rFonts w:eastAsia="Calibri"/>
          <w:b/>
          <w:bCs/>
          <w:i/>
          <w:iCs/>
          <w:spacing w:val="0"/>
          <w:sz w:val="26"/>
          <w:szCs w:val="26"/>
        </w:rPr>
        <w:t>+ β</w:t>
      </w:r>
      <w:r>
        <w:rPr>
          <w:rFonts w:eastAsia="Calibri"/>
          <w:b/>
          <w:bCs/>
          <w:i/>
          <w:iCs/>
          <w:spacing w:val="0"/>
          <w:sz w:val="26"/>
          <w:szCs w:val="26"/>
          <w:vertAlign w:val="subscript"/>
        </w:rPr>
        <w:t>4</w:t>
      </w:r>
      <w:r>
        <w:rPr>
          <w:rFonts w:eastAsia="Calibri"/>
          <w:b/>
          <w:bCs/>
          <w:i/>
          <w:iCs/>
          <w:spacing w:val="0"/>
          <w:sz w:val="26"/>
          <w:szCs w:val="26"/>
        </w:rPr>
        <w:t>AC*D(HN) + β</w:t>
      </w:r>
      <w:r>
        <w:rPr>
          <w:rFonts w:eastAsia="Calibri"/>
          <w:b/>
          <w:bCs/>
          <w:i/>
          <w:iCs/>
          <w:spacing w:val="0"/>
          <w:sz w:val="26"/>
          <w:szCs w:val="26"/>
          <w:vertAlign w:val="subscript"/>
        </w:rPr>
        <w:t>5</w:t>
      </w:r>
      <w:r>
        <w:rPr>
          <w:rFonts w:eastAsia="Calibri"/>
          <w:b/>
          <w:bCs/>
          <w:i/>
          <w:iCs/>
          <w:spacing w:val="0"/>
          <w:sz w:val="26"/>
          <w:szCs w:val="26"/>
        </w:rPr>
        <w:t xml:space="preserve">RE*D(HN) </w:t>
      </w:r>
    </w:p>
    <w:p w14:paraId="79EE9182" w14:textId="77777777" w:rsidR="00332399" w:rsidRDefault="00000000" w:rsidP="00B21062">
      <w:pPr>
        <w:spacing w:line="312" w:lineRule="auto"/>
        <w:jc w:val="center"/>
        <w:rPr>
          <w:rFonts w:eastAsia="Calibri"/>
          <w:b/>
          <w:bCs/>
          <w:i/>
          <w:iCs/>
          <w:spacing w:val="0"/>
          <w:sz w:val="26"/>
          <w:szCs w:val="26"/>
        </w:rPr>
      </w:pPr>
      <w:r>
        <w:rPr>
          <w:rFonts w:eastAsia="Calibri"/>
          <w:b/>
          <w:bCs/>
          <w:i/>
          <w:iCs/>
          <w:spacing w:val="0"/>
          <w:sz w:val="26"/>
          <w:szCs w:val="26"/>
        </w:rPr>
        <w:t>+ β</w:t>
      </w:r>
      <w:r>
        <w:rPr>
          <w:rFonts w:eastAsia="Calibri"/>
          <w:b/>
          <w:bCs/>
          <w:i/>
          <w:iCs/>
          <w:spacing w:val="0"/>
          <w:sz w:val="26"/>
          <w:szCs w:val="26"/>
          <w:vertAlign w:val="subscript"/>
        </w:rPr>
        <w:t>6</w:t>
      </w:r>
      <w:r>
        <w:rPr>
          <w:rFonts w:eastAsia="Calibri"/>
          <w:b/>
          <w:bCs/>
          <w:i/>
          <w:iCs/>
          <w:spacing w:val="0"/>
          <w:sz w:val="26"/>
          <w:szCs w:val="26"/>
        </w:rPr>
        <w:t>AVA*D(HN) + ε  (4)</w:t>
      </w:r>
    </w:p>
    <w:p w14:paraId="505123EF" w14:textId="2DCA03B6" w:rsidR="00332399" w:rsidRPr="00B21062" w:rsidRDefault="00000000" w:rsidP="00B21062">
      <w:pPr>
        <w:spacing w:line="312" w:lineRule="auto"/>
        <w:jc w:val="both"/>
        <w:rPr>
          <w:rFonts w:eastAsia="Calibri"/>
          <w:spacing w:val="0"/>
          <w:sz w:val="26"/>
          <w:szCs w:val="26"/>
          <w:lang w:val="vi-VN"/>
        </w:rPr>
      </w:pPr>
      <w:r>
        <w:rPr>
          <w:rFonts w:eastAsia="Calibri"/>
          <w:spacing w:val="0"/>
          <w:sz w:val="26"/>
          <w:szCs w:val="26"/>
        </w:rPr>
        <w:lastRenderedPageBreak/>
        <w:t>Trong đó D(HN) là biếng gỉa có giá trị bằng 1 nếu nhà đầu tư đến từ thành phố Hà Nội và 0 nếu đến từ thành phố H</w:t>
      </w:r>
      <w:r w:rsidR="00B21062">
        <w:rPr>
          <w:rFonts w:eastAsia="Calibri"/>
          <w:spacing w:val="0"/>
          <w:sz w:val="26"/>
          <w:szCs w:val="26"/>
          <w:lang w:val="vi-VN"/>
        </w:rPr>
        <w:t>ồ Chí Minh</w:t>
      </w:r>
    </w:p>
    <w:p w14:paraId="53DC5D77" w14:textId="77777777" w:rsidR="00332399" w:rsidRDefault="00000000" w:rsidP="00B21062">
      <w:pPr>
        <w:pStyle w:val="Heading2"/>
        <w:spacing w:line="312" w:lineRule="auto"/>
      </w:pPr>
      <w:bookmarkStart w:id="21" w:name="_Toc32593"/>
      <w:bookmarkStart w:id="22" w:name="_Toc19486"/>
      <w:bookmarkStart w:id="23" w:name="_Toc21613"/>
      <w:r>
        <w:t>2.4. Kết quả nghiên cứu</w:t>
      </w:r>
      <w:bookmarkEnd w:id="21"/>
      <w:bookmarkEnd w:id="22"/>
      <w:bookmarkEnd w:id="23"/>
    </w:p>
    <w:p w14:paraId="47FA8FAC"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Phân tích mô tả các mục câu trả lời cho thấy tần suất phản hồi của các nhà đầu tư đối với một câu hỏi cụ thể, nếu các phản hồi diễn ra thường xuyên ở mức 4 hoặc 5 trên thang đo Likert 5 mức độ cho thấy sự hiện diện của một khía cạnh thiên lệch tâm lý. Bên cạnh đó, nghiên cứu cũng thực hiện phân tích tương quan để xem xét mối quan hệ giữa các biến trước khi tiến hành hồi quy.</w:t>
      </w:r>
    </w:p>
    <w:p w14:paraId="72669378" w14:textId="77777777" w:rsidR="00332399" w:rsidRDefault="00000000" w:rsidP="00B21062">
      <w:pPr>
        <w:pStyle w:val="bng"/>
        <w:spacing w:line="312" w:lineRule="auto"/>
      </w:pPr>
      <w:bookmarkStart w:id="24" w:name="_Toc24556"/>
      <w:r>
        <w:t xml:space="preserve">Bảng </w:t>
      </w:r>
      <w:r>
        <w:rPr>
          <w:lang w:val="vi-VN"/>
        </w:rPr>
        <w:t>2.1</w:t>
      </w:r>
      <w:r>
        <w:t>: Phân tích tương quan</w:t>
      </w:r>
      <w:bookmarkEnd w:id="24"/>
    </w:p>
    <w:p w14:paraId="64346890" w14:textId="77777777" w:rsidR="00332399" w:rsidRDefault="00000000" w:rsidP="00B21062">
      <w:pPr>
        <w:spacing w:before="160" w:after="160" w:line="312" w:lineRule="auto"/>
        <w:jc w:val="right"/>
        <w:rPr>
          <w:rFonts w:eastAsia="Arial"/>
          <w:i/>
          <w:iCs/>
          <w:spacing w:val="0"/>
          <w:sz w:val="26"/>
          <w:szCs w:val="26"/>
        </w:rPr>
      </w:pPr>
      <w:r>
        <w:rPr>
          <w:rFonts w:eastAsia="Arial"/>
          <w:i/>
          <w:iCs/>
          <w:spacing w:val="0"/>
          <w:sz w:val="26"/>
          <w:szCs w:val="26"/>
        </w:rPr>
        <w:t>**: Có ý nghĩa ở mức 5%</w:t>
      </w:r>
    </w:p>
    <w:tbl>
      <w:tblPr>
        <w:tblStyle w:val="TableGrid"/>
        <w:tblW w:w="0" w:type="auto"/>
        <w:tblLook w:val="04A0" w:firstRow="1" w:lastRow="0" w:firstColumn="1" w:lastColumn="0" w:noHBand="0" w:noVBand="1"/>
      </w:tblPr>
      <w:tblGrid>
        <w:gridCol w:w="1812"/>
        <w:gridCol w:w="1812"/>
        <w:gridCol w:w="1812"/>
        <w:gridCol w:w="1812"/>
        <w:gridCol w:w="1813"/>
      </w:tblGrid>
      <w:tr w:rsidR="00332399" w:rsidRPr="00B21062" w14:paraId="6E703A0F" w14:textId="77777777">
        <w:trPr>
          <w:tblHeader/>
        </w:trPr>
        <w:tc>
          <w:tcPr>
            <w:tcW w:w="1812" w:type="dxa"/>
            <w:vAlign w:val="center"/>
          </w:tcPr>
          <w:p w14:paraId="499C53D3"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Biến</w:t>
            </w:r>
          </w:p>
        </w:tc>
        <w:tc>
          <w:tcPr>
            <w:tcW w:w="1812" w:type="dxa"/>
            <w:vAlign w:val="center"/>
          </w:tcPr>
          <w:p w14:paraId="0D4894A1"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AC</w:t>
            </w:r>
          </w:p>
        </w:tc>
        <w:tc>
          <w:tcPr>
            <w:tcW w:w="1812" w:type="dxa"/>
            <w:vAlign w:val="center"/>
          </w:tcPr>
          <w:p w14:paraId="347AA933"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RE</w:t>
            </w:r>
          </w:p>
        </w:tc>
        <w:tc>
          <w:tcPr>
            <w:tcW w:w="1812" w:type="dxa"/>
            <w:vAlign w:val="center"/>
          </w:tcPr>
          <w:p w14:paraId="60B9D2A8"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AVA</w:t>
            </w:r>
          </w:p>
        </w:tc>
        <w:tc>
          <w:tcPr>
            <w:tcW w:w="1813" w:type="dxa"/>
            <w:vAlign w:val="center"/>
          </w:tcPr>
          <w:p w14:paraId="53D35BA9"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SB</w:t>
            </w:r>
          </w:p>
        </w:tc>
      </w:tr>
      <w:tr w:rsidR="00332399" w:rsidRPr="00B21062" w14:paraId="562CBCFE" w14:textId="77777777">
        <w:tc>
          <w:tcPr>
            <w:tcW w:w="1812" w:type="dxa"/>
            <w:vAlign w:val="center"/>
          </w:tcPr>
          <w:p w14:paraId="62703F38"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AC</w:t>
            </w:r>
          </w:p>
        </w:tc>
        <w:tc>
          <w:tcPr>
            <w:tcW w:w="1812" w:type="dxa"/>
            <w:vAlign w:val="center"/>
          </w:tcPr>
          <w:p w14:paraId="0736253C"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1</w:t>
            </w:r>
          </w:p>
        </w:tc>
        <w:tc>
          <w:tcPr>
            <w:tcW w:w="1812" w:type="dxa"/>
            <w:vAlign w:val="center"/>
          </w:tcPr>
          <w:p w14:paraId="433F12C3"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w:t>
            </w:r>
          </w:p>
        </w:tc>
        <w:tc>
          <w:tcPr>
            <w:tcW w:w="1812" w:type="dxa"/>
            <w:vAlign w:val="center"/>
          </w:tcPr>
          <w:p w14:paraId="65BFA3DF"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w:t>
            </w:r>
          </w:p>
        </w:tc>
        <w:tc>
          <w:tcPr>
            <w:tcW w:w="1813" w:type="dxa"/>
            <w:vAlign w:val="center"/>
          </w:tcPr>
          <w:p w14:paraId="03FE8479"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w:t>
            </w:r>
          </w:p>
        </w:tc>
      </w:tr>
      <w:tr w:rsidR="00332399" w:rsidRPr="00B21062" w14:paraId="4885C2BE" w14:textId="77777777">
        <w:tc>
          <w:tcPr>
            <w:tcW w:w="1812" w:type="dxa"/>
            <w:vAlign w:val="center"/>
          </w:tcPr>
          <w:p w14:paraId="0D5B4E78"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RE</w:t>
            </w:r>
          </w:p>
        </w:tc>
        <w:tc>
          <w:tcPr>
            <w:tcW w:w="1812" w:type="dxa"/>
            <w:vAlign w:val="center"/>
          </w:tcPr>
          <w:p w14:paraId="02DDFE2E"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0.752**</w:t>
            </w:r>
          </w:p>
        </w:tc>
        <w:tc>
          <w:tcPr>
            <w:tcW w:w="1812" w:type="dxa"/>
            <w:vAlign w:val="center"/>
          </w:tcPr>
          <w:p w14:paraId="196CE11D"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1</w:t>
            </w:r>
          </w:p>
        </w:tc>
        <w:tc>
          <w:tcPr>
            <w:tcW w:w="1812" w:type="dxa"/>
            <w:vAlign w:val="center"/>
          </w:tcPr>
          <w:p w14:paraId="0104C412"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w:t>
            </w:r>
          </w:p>
        </w:tc>
        <w:tc>
          <w:tcPr>
            <w:tcW w:w="1813" w:type="dxa"/>
            <w:vAlign w:val="center"/>
          </w:tcPr>
          <w:p w14:paraId="2EE2A94D"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w:t>
            </w:r>
          </w:p>
        </w:tc>
      </w:tr>
      <w:tr w:rsidR="00332399" w:rsidRPr="00B21062" w14:paraId="032D61E0" w14:textId="77777777">
        <w:tc>
          <w:tcPr>
            <w:tcW w:w="1812" w:type="dxa"/>
            <w:vAlign w:val="center"/>
          </w:tcPr>
          <w:p w14:paraId="4E8CDB36"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AVA</w:t>
            </w:r>
          </w:p>
        </w:tc>
        <w:tc>
          <w:tcPr>
            <w:tcW w:w="1812" w:type="dxa"/>
            <w:vAlign w:val="center"/>
          </w:tcPr>
          <w:p w14:paraId="0CC2833B"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0.695**</w:t>
            </w:r>
          </w:p>
        </w:tc>
        <w:tc>
          <w:tcPr>
            <w:tcW w:w="1812" w:type="dxa"/>
            <w:vAlign w:val="center"/>
          </w:tcPr>
          <w:p w14:paraId="1D313565"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0.671**</w:t>
            </w:r>
          </w:p>
        </w:tc>
        <w:tc>
          <w:tcPr>
            <w:tcW w:w="1812" w:type="dxa"/>
            <w:vAlign w:val="center"/>
          </w:tcPr>
          <w:p w14:paraId="03DA17B2"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1</w:t>
            </w:r>
          </w:p>
        </w:tc>
        <w:tc>
          <w:tcPr>
            <w:tcW w:w="1813" w:type="dxa"/>
            <w:vAlign w:val="center"/>
          </w:tcPr>
          <w:p w14:paraId="60CBBD63"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w:t>
            </w:r>
          </w:p>
        </w:tc>
      </w:tr>
      <w:tr w:rsidR="00332399" w:rsidRPr="00B21062" w14:paraId="430D6594" w14:textId="77777777">
        <w:tc>
          <w:tcPr>
            <w:tcW w:w="1812" w:type="dxa"/>
            <w:vAlign w:val="center"/>
          </w:tcPr>
          <w:p w14:paraId="7F1078DB" w14:textId="77777777" w:rsidR="00332399" w:rsidRPr="00B21062" w:rsidRDefault="00000000" w:rsidP="00B21062">
            <w:pPr>
              <w:spacing w:before="160" w:after="0" w:line="312" w:lineRule="auto"/>
              <w:jc w:val="center"/>
              <w:rPr>
                <w:rFonts w:asciiTheme="majorBidi" w:hAnsiTheme="majorBidi" w:cstheme="majorBidi"/>
                <w:b/>
                <w:bCs/>
                <w:spacing w:val="0"/>
                <w:sz w:val="26"/>
                <w:szCs w:val="26"/>
              </w:rPr>
            </w:pPr>
            <w:r w:rsidRPr="00B21062">
              <w:rPr>
                <w:rFonts w:asciiTheme="majorBidi" w:hAnsiTheme="majorBidi" w:cstheme="majorBidi"/>
                <w:b/>
                <w:bCs/>
                <w:spacing w:val="0"/>
                <w:sz w:val="26"/>
                <w:szCs w:val="26"/>
              </w:rPr>
              <w:t>SB</w:t>
            </w:r>
          </w:p>
        </w:tc>
        <w:tc>
          <w:tcPr>
            <w:tcW w:w="1812" w:type="dxa"/>
            <w:vAlign w:val="center"/>
          </w:tcPr>
          <w:p w14:paraId="35F96964"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0.346**</w:t>
            </w:r>
          </w:p>
        </w:tc>
        <w:tc>
          <w:tcPr>
            <w:tcW w:w="1812" w:type="dxa"/>
            <w:vAlign w:val="center"/>
          </w:tcPr>
          <w:p w14:paraId="3C4CE73D"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0.482**</w:t>
            </w:r>
          </w:p>
        </w:tc>
        <w:tc>
          <w:tcPr>
            <w:tcW w:w="1812" w:type="dxa"/>
            <w:vAlign w:val="center"/>
          </w:tcPr>
          <w:p w14:paraId="6D4FD4B1"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0.548**</w:t>
            </w:r>
          </w:p>
        </w:tc>
        <w:tc>
          <w:tcPr>
            <w:tcW w:w="1813" w:type="dxa"/>
            <w:vAlign w:val="center"/>
          </w:tcPr>
          <w:p w14:paraId="2A9F79B9" w14:textId="77777777" w:rsidR="00332399" w:rsidRPr="00B21062" w:rsidRDefault="00000000" w:rsidP="00B21062">
            <w:pPr>
              <w:spacing w:before="160" w:after="0" w:line="312" w:lineRule="auto"/>
              <w:jc w:val="center"/>
              <w:rPr>
                <w:rFonts w:asciiTheme="majorBidi" w:hAnsiTheme="majorBidi" w:cstheme="majorBidi"/>
                <w:spacing w:val="0"/>
                <w:sz w:val="26"/>
                <w:szCs w:val="26"/>
              </w:rPr>
            </w:pPr>
            <w:r w:rsidRPr="00B21062">
              <w:rPr>
                <w:rFonts w:asciiTheme="majorBidi" w:hAnsiTheme="majorBidi" w:cstheme="majorBidi"/>
                <w:spacing w:val="0"/>
                <w:sz w:val="26"/>
                <w:szCs w:val="26"/>
              </w:rPr>
              <w:t>1</w:t>
            </w:r>
          </w:p>
        </w:tc>
      </w:tr>
    </w:tbl>
    <w:p w14:paraId="73FEC185" w14:textId="77777777" w:rsidR="00332399" w:rsidRDefault="00332399" w:rsidP="00B21062">
      <w:pPr>
        <w:spacing w:before="160" w:after="160" w:line="312" w:lineRule="auto"/>
        <w:jc w:val="both"/>
        <w:rPr>
          <w:rFonts w:eastAsia="Arial"/>
          <w:spacing w:val="0"/>
          <w:sz w:val="26"/>
          <w:szCs w:val="26"/>
        </w:rPr>
      </w:pPr>
    </w:p>
    <w:p w14:paraId="0F52F498"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Kết quả phân tích tương quan cho thấy các yếu tố tâm lý hành xử theo kinh nghiệm đều có ảnh hưởng đến quyết định mua cổ phiếu của nhà đầu tư, tiếp đó tác giả tiến hành ước lượng bốn mô hình đã nêu và thu được kết quả như sau</w:t>
      </w:r>
    </w:p>
    <w:p w14:paraId="7C7E26A2" w14:textId="77777777" w:rsidR="00332399" w:rsidRDefault="00000000" w:rsidP="00B21062">
      <w:pPr>
        <w:pStyle w:val="bng"/>
        <w:spacing w:line="312" w:lineRule="auto"/>
      </w:pPr>
      <w:bookmarkStart w:id="25" w:name="_Toc31745"/>
      <w:r>
        <w:t>Bảng 2</w:t>
      </w:r>
      <w:r>
        <w:rPr>
          <w:lang w:val="vi-VN"/>
        </w:rPr>
        <w:t>.2</w:t>
      </w:r>
      <w:r>
        <w:t>: Kết quả ước lượng</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778"/>
        <w:gridCol w:w="1772"/>
        <w:gridCol w:w="1620"/>
        <w:gridCol w:w="1618"/>
      </w:tblGrid>
      <w:tr w:rsidR="00332399" w14:paraId="0E263801" w14:textId="77777777">
        <w:trPr>
          <w:tblHeader/>
        </w:trPr>
        <w:tc>
          <w:tcPr>
            <w:tcW w:w="1254" w:type="pct"/>
            <w:shd w:val="clear" w:color="auto" w:fill="auto"/>
          </w:tcPr>
          <w:p w14:paraId="0E9D16A1" w14:textId="77777777" w:rsidR="00332399" w:rsidRDefault="00000000" w:rsidP="00B21062">
            <w:pPr>
              <w:spacing w:line="312" w:lineRule="auto"/>
              <w:jc w:val="center"/>
              <w:rPr>
                <w:rFonts w:eastAsia="Calibri"/>
                <w:b/>
                <w:bCs/>
                <w:sz w:val="26"/>
                <w:szCs w:val="26"/>
              </w:rPr>
            </w:pPr>
            <w:r>
              <w:rPr>
                <w:rFonts w:eastAsia="Calibri"/>
                <w:b/>
                <w:bCs/>
                <w:sz w:val="26"/>
                <w:szCs w:val="26"/>
              </w:rPr>
              <w:t>Biến độc lập</w:t>
            </w:r>
          </w:p>
        </w:tc>
        <w:tc>
          <w:tcPr>
            <w:tcW w:w="981" w:type="pct"/>
            <w:shd w:val="clear" w:color="auto" w:fill="auto"/>
          </w:tcPr>
          <w:p w14:paraId="3B79E90B" w14:textId="77777777" w:rsidR="00332399" w:rsidRDefault="00000000" w:rsidP="00B21062">
            <w:pPr>
              <w:spacing w:line="312" w:lineRule="auto"/>
              <w:jc w:val="center"/>
              <w:rPr>
                <w:rFonts w:eastAsia="Calibri"/>
                <w:b/>
                <w:bCs/>
                <w:sz w:val="26"/>
                <w:szCs w:val="26"/>
              </w:rPr>
            </w:pPr>
            <w:r>
              <w:rPr>
                <w:rFonts w:eastAsia="Calibri"/>
                <w:b/>
                <w:bCs/>
                <w:sz w:val="26"/>
                <w:szCs w:val="26"/>
              </w:rPr>
              <w:t>MH 1</w:t>
            </w:r>
          </w:p>
        </w:tc>
        <w:tc>
          <w:tcPr>
            <w:tcW w:w="978" w:type="pct"/>
          </w:tcPr>
          <w:p w14:paraId="4EEE1A92" w14:textId="77777777" w:rsidR="00332399" w:rsidRDefault="00000000" w:rsidP="00B21062">
            <w:pPr>
              <w:spacing w:line="312" w:lineRule="auto"/>
              <w:jc w:val="center"/>
              <w:rPr>
                <w:rFonts w:eastAsia="Calibri"/>
                <w:b/>
                <w:bCs/>
                <w:sz w:val="26"/>
                <w:szCs w:val="26"/>
              </w:rPr>
            </w:pPr>
            <w:r>
              <w:rPr>
                <w:rFonts w:eastAsia="Calibri"/>
                <w:b/>
                <w:bCs/>
                <w:sz w:val="26"/>
                <w:szCs w:val="26"/>
              </w:rPr>
              <w:t>MH 2</w:t>
            </w:r>
          </w:p>
        </w:tc>
        <w:tc>
          <w:tcPr>
            <w:tcW w:w="894" w:type="pct"/>
          </w:tcPr>
          <w:p w14:paraId="1F7E2922" w14:textId="77777777" w:rsidR="00332399" w:rsidRDefault="00000000" w:rsidP="00B21062">
            <w:pPr>
              <w:spacing w:line="312" w:lineRule="auto"/>
              <w:jc w:val="center"/>
              <w:rPr>
                <w:rFonts w:eastAsia="Calibri"/>
                <w:b/>
                <w:bCs/>
                <w:sz w:val="26"/>
                <w:szCs w:val="26"/>
              </w:rPr>
            </w:pPr>
            <w:r>
              <w:rPr>
                <w:rFonts w:eastAsia="Calibri"/>
                <w:b/>
                <w:bCs/>
                <w:sz w:val="26"/>
                <w:szCs w:val="26"/>
              </w:rPr>
              <w:t>MH 3</w:t>
            </w:r>
          </w:p>
        </w:tc>
        <w:tc>
          <w:tcPr>
            <w:tcW w:w="893" w:type="pct"/>
          </w:tcPr>
          <w:p w14:paraId="45FCCBE0" w14:textId="77777777" w:rsidR="00332399" w:rsidRDefault="00000000" w:rsidP="00B21062">
            <w:pPr>
              <w:spacing w:line="312" w:lineRule="auto"/>
              <w:jc w:val="center"/>
              <w:rPr>
                <w:rFonts w:eastAsia="Calibri"/>
                <w:b/>
                <w:bCs/>
                <w:sz w:val="26"/>
                <w:szCs w:val="26"/>
              </w:rPr>
            </w:pPr>
            <w:r>
              <w:rPr>
                <w:rFonts w:eastAsia="Calibri"/>
                <w:b/>
                <w:bCs/>
                <w:sz w:val="26"/>
                <w:szCs w:val="26"/>
              </w:rPr>
              <w:t>MH4</w:t>
            </w:r>
          </w:p>
        </w:tc>
      </w:tr>
      <w:tr w:rsidR="00332399" w14:paraId="3AE9AE21" w14:textId="77777777">
        <w:tc>
          <w:tcPr>
            <w:tcW w:w="1254" w:type="pct"/>
            <w:shd w:val="clear" w:color="auto" w:fill="auto"/>
          </w:tcPr>
          <w:p w14:paraId="6B3F39DB" w14:textId="77777777" w:rsidR="00332399" w:rsidRDefault="00000000" w:rsidP="00B21062">
            <w:pPr>
              <w:spacing w:line="312" w:lineRule="auto"/>
              <w:rPr>
                <w:rFonts w:eastAsia="Calibri"/>
                <w:sz w:val="26"/>
                <w:szCs w:val="26"/>
              </w:rPr>
            </w:pPr>
            <w:r>
              <w:rPr>
                <w:rFonts w:eastAsia="Calibri"/>
                <w:sz w:val="26"/>
                <w:szCs w:val="26"/>
              </w:rPr>
              <w:t xml:space="preserve">AC </w:t>
            </w:r>
          </w:p>
        </w:tc>
        <w:tc>
          <w:tcPr>
            <w:tcW w:w="981" w:type="pct"/>
            <w:shd w:val="clear" w:color="auto" w:fill="auto"/>
          </w:tcPr>
          <w:p w14:paraId="739B68F0" w14:textId="77777777" w:rsidR="00332399" w:rsidRDefault="00000000" w:rsidP="00B21062">
            <w:pPr>
              <w:spacing w:line="312" w:lineRule="auto"/>
              <w:jc w:val="center"/>
              <w:rPr>
                <w:rFonts w:eastAsia="Calibri"/>
                <w:sz w:val="26"/>
                <w:szCs w:val="26"/>
              </w:rPr>
            </w:pPr>
            <w:r>
              <w:rPr>
                <w:rFonts w:eastAsia="Calibri"/>
                <w:sz w:val="26"/>
                <w:szCs w:val="26"/>
              </w:rPr>
              <w:t>-0.385**</w:t>
            </w:r>
          </w:p>
        </w:tc>
        <w:tc>
          <w:tcPr>
            <w:tcW w:w="978" w:type="pct"/>
          </w:tcPr>
          <w:p w14:paraId="2C15AC0F" w14:textId="77777777" w:rsidR="00332399" w:rsidRDefault="00000000" w:rsidP="00B21062">
            <w:pPr>
              <w:spacing w:line="312" w:lineRule="auto"/>
              <w:jc w:val="center"/>
              <w:rPr>
                <w:rFonts w:eastAsia="Calibri"/>
                <w:sz w:val="26"/>
                <w:szCs w:val="26"/>
              </w:rPr>
            </w:pPr>
            <w:r>
              <w:rPr>
                <w:rFonts w:eastAsia="Calibri"/>
                <w:sz w:val="26"/>
                <w:szCs w:val="26"/>
              </w:rPr>
              <w:t>-0.322**</w:t>
            </w:r>
          </w:p>
        </w:tc>
        <w:tc>
          <w:tcPr>
            <w:tcW w:w="894" w:type="pct"/>
          </w:tcPr>
          <w:p w14:paraId="56769271" w14:textId="77777777" w:rsidR="00332399" w:rsidRDefault="00000000" w:rsidP="00B21062">
            <w:pPr>
              <w:spacing w:line="312" w:lineRule="auto"/>
              <w:jc w:val="center"/>
              <w:rPr>
                <w:rFonts w:eastAsia="Calibri"/>
                <w:sz w:val="26"/>
                <w:szCs w:val="26"/>
              </w:rPr>
            </w:pPr>
            <w:r>
              <w:rPr>
                <w:rFonts w:eastAsia="Calibri"/>
                <w:sz w:val="26"/>
                <w:szCs w:val="26"/>
              </w:rPr>
              <w:t>-0.298**</w:t>
            </w:r>
          </w:p>
        </w:tc>
        <w:tc>
          <w:tcPr>
            <w:tcW w:w="893" w:type="pct"/>
          </w:tcPr>
          <w:p w14:paraId="1DDCCE79" w14:textId="77777777" w:rsidR="00332399" w:rsidRDefault="00000000" w:rsidP="00B21062">
            <w:pPr>
              <w:spacing w:line="312" w:lineRule="auto"/>
              <w:jc w:val="center"/>
              <w:rPr>
                <w:rFonts w:eastAsia="Calibri"/>
                <w:sz w:val="26"/>
                <w:szCs w:val="26"/>
              </w:rPr>
            </w:pPr>
            <w:r>
              <w:rPr>
                <w:rFonts w:eastAsia="Calibri"/>
                <w:sz w:val="26"/>
                <w:szCs w:val="26"/>
              </w:rPr>
              <w:t>-0.367**</w:t>
            </w:r>
          </w:p>
        </w:tc>
      </w:tr>
      <w:tr w:rsidR="00332399" w14:paraId="1B8512A7" w14:textId="77777777">
        <w:tc>
          <w:tcPr>
            <w:tcW w:w="1254" w:type="pct"/>
            <w:shd w:val="clear" w:color="auto" w:fill="auto"/>
          </w:tcPr>
          <w:p w14:paraId="31CA0E57" w14:textId="77777777" w:rsidR="00332399" w:rsidRDefault="00000000" w:rsidP="00B21062">
            <w:pPr>
              <w:spacing w:line="312" w:lineRule="auto"/>
              <w:rPr>
                <w:rFonts w:eastAsia="Calibri"/>
                <w:sz w:val="26"/>
                <w:szCs w:val="26"/>
              </w:rPr>
            </w:pPr>
            <w:r>
              <w:rPr>
                <w:rFonts w:eastAsia="Calibri"/>
                <w:sz w:val="26"/>
                <w:szCs w:val="26"/>
              </w:rPr>
              <w:t>RE</w:t>
            </w:r>
          </w:p>
        </w:tc>
        <w:tc>
          <w:tcPr>
            <w:tcW w:w="981" w:type="pct"/>
            <w:shd w:val="clear" w:color="auto" w:fill="auto"/>
          </w:tcPr>
          <w:p w14:paraId="2F94FE17" w14:textId="77777777" w:rsidR="00332399" w:rsidRDefault="00000000" w:rsidP="00B21062">
            <w:pPr>
              <w:spacing w:line="312" w:lineRule="auto"/>
              <w:jc w:val="center"/>
              <w:rPr>
                <w:rFonts w:eastAsia="Calibri"/>
                <w:sz w:val="26"/>
                <w:szCs w:val="26"/>
              </w:rPr>
            </w:pPr>
            <w:r>
              <w:rPr>
                <w:rFonts w:eastAsia="Calibri"/>
                <w:sz w:val="26"/>
                <w:szCs w:val="26"/>
              </w:rPr>
              <w:t>0.516***</w:t>
            </w:r>
          </w:p>
        </w:tc>
        <w:tc>
          <w:tcPr>
            <w:tcW w:w="978" w:type="pct"/>
          </w:tcPr>
          <w:p w14:paraId="01E49412" w14:textId="77777777" w:rsidR="00332399" w:rsidRDefault="00000000" w:rsidP="00B21062">
            <w:pPr>
              <w:spacing w:line="312" w:lineRule="auto"/>
              <w:jc w:val="center"/>
              <w:rPr>
                <w:rFonts w:eastAsia="Calibri"/>
                <w:sz w:val="26"/>
                <w:szCs w:val="26"/>
              </w:rPr>
            </w:pPr>
            <w:r>
              <w:rPr>
                <w:rFonts w:eastAsia="Calibri"/>
                <w:sz w:val="26"/>
                <w:szCs w:val="26"/>
              </w:rPr>
              <w:t>0.488***</w:t>
            </w:r>
          </w:p>
        </w:tc>
        <w:tc>
          <w:tcPr>
            <w:tcW w:w="894" w:type="pct"/>
          </w:tcPr>
          <w:p w14:paraId="3911369A" w14:textId="77777777" w:rsidR="00332399" w:rsidRDefault="00000000" w:rsidP="00B21062">
            <w:pPr>
              <w:spacing w:line="312" w:lineRule="auto"/>
              <w:jc w:val="center"/>
              <w:rPr>
                <w:rFonts w:eastAsia="Calibri"/>
                <w:sz w:val="26"/>
                <w:szCs w:val="26"/>
              </w:rPr>
            </w:pPr>
            <w:r>
              <w:rPr>
                <w:rFonts w:eastAsia="Calibri"/>
                <w:sz w:val="26"/>
                <w:szCs w:val="26"/>
              </w:rPr>
              <w:t>0.399**</w:t>
            </w:r>
          </w:p>
        </w:tc>
        <w:tc>
          <w:tcPr>
            <w:tcW w:w="893" w:type="pct"/>
          </w:tcPr>
          <w:p w14:paraId="64689766" w14:textId="77777777" w:rsidR="00332399" w:rsidRDefault="00000000" w:rsidP="00B21062">
            <w:pPr>
              <w:spacing w:line="312" w:lineRule="auto"/>
              <w:jc w:val="center"/>
              <w:rPr>
                <w:rFonts w:eastAsia="Calibri"/>
                <w:sz w:val="26"/>
                <w:szCs w:val="26"/>
              </w:rPr>
            </w:pPr>
            <w:r>
              <w:rPr>
                <w:rFonts w:eastAsia="Calibri"/>
                <w:sz w:val="26"/>
                <w:szCs w:val="26"/>
              </w:rPr>
              <w:t>0.468**</w:t>
            </w:r>
          </w:p>
        </w:tc>
      </w:tr>
      <w:tr w:rsidR="00332399" w14:paraId="7B86CE77" w14:textId="77777777">
        <w:tc>
          <w:tcPr>
            <w:tcW w:w="1254" w:type="pct"/>
            <w:shd w:val="clear" w:color="auto" w:fill="auto"/>
          </w:tcPr>
          <w:p w14:paraId="5B29480A" w14:textId="77777777" w:rsidR="00332399" w:rsidRDefault="00000000" w:rsidP="00B21062">
            <w:pPr>
              <w:spacing w:line="312" w:lineRule="auto"/>
              <w:rPr>
                <w:rFonts w:eastAsia="Calibri"/>
                <w:sz w:val="26"/>
                <w:szCs w:val="26"/>
              </w:rPr>
            </w:pPr>
            <w:r>
              <w:rPr>
                <w:rFonts w:eastAsia="Calibri"/>
                <w:sz w:val="26"/>
                <w:szCs w:val="26"/>
              </w:rPr>
              <w:t>AVA</w:t>
            </w:r>
          </w:p>
        </w:tc>
        <w:tc>
          <w:tcPr>
            <w:tcW w:w="981" w:type="pct"/>
            <w:shd w:val="clear" w:color="auto" w:fill="auto"/>
          </w:tcPr>
          <w:p w14:paraId="59BD8A63" w14:textId="77777777" w:rsidR="00332399" w:rsidRDefault="00000000" w:rsidP="00B21062">
            <w:pPr>
              <w:spacing w:line="312" w:lineRule="auto"/>
              <w:jc w:val="center"/>
              <w:rPr>
                <w:rFonts w:eastAsia="Calibri"/>
                <w:sz w:val="26"/>
                <w:szCs w:val="26"/>
              </w:rPr>
            </w:pPr>
            <w:r>
              <w:rPr>
                <w:rFonts w:eastAsia="Calibri"/>
                <w:sz w:val="26"/>
                <w:szCs w:val="26"/>
              </w:rPr>
              <w:t>0.659**</w:t>
            </w:r>
          </w:p>
        </w:tc>
        <w:tc>
          <w:tcPr>
            <w:tcW w:w="978" w:type="pct"/>
          </w:tcPr>
          <w:p w14:paraId="5772E13D" w14:textId="77777777" w:rsidR="00332399" w:rsidRDefault="00000000" w:rsidP="00B21062">
            <w:pPr>
              <w:spacing w:line="312" w:lineRule="auto"/>
              <w:jc w:val="center"/>
              <w:rPr>
                <w:rFonts w:eastAsia="Calibri"/>
                <w:sz w:val="26"/>
                <w:szCs w:val="26"/>
              </w:rPr>
            </w:pPr>
            <w:r>
              <w:rPr>
                <w:rFonts w:eastAsia="Calibri"/>
                <w:sz w:val="26"/>
                <w:szCs w:val="26"/>
              </w:rPr>
              <w:t>0.672**</w:t>
            </w:r>
          </w:p>
        </w:tc>
        <w:tc>
          <w:tcPr>
            <w:tcW w:w="894" w:type="pct"/>
          </w:tcPr>
          <w:p w14:paraId="6D37C2DD" w14:textId="77777777" w:rsidR="00332399" w:rsidRDefault="00000000" w:rsidP="00B21062">
            <w:pPr>
              <w:spacing w:line="312" w:lineRule="auto"/>
              <w:jc w:val="center"/>
              <w:rPr>
                <w:rFonts w:eastAsia="Calibri"/>
                <w:sz w:val="26"/>
                <w:szCs w:val="26"/>
              </w:rPr>
            </w:pPr>
            <w:r>
              <w:rPr>
                <w:rFonts w:eastAsia="Calibri"/>
                <w:sz w:val="26"/>
                <w:szCs w:val="26"/>
              </w:rPr>
              <w:t>0.696**</w:t>
            </w:r>
          </w:p>
        </w:tc>
        <w:tc>
          <w:tcPr>
            <w:tcW w:w="893" w:type="pct"/>
          </w:tcPr>
          <w:p w14:paraId="0F3B9319" w14:textId="77777777" w:rsidR="00332399" w:rsidRDefault="00000000" w:rsidP="00B21062">
            <w:pPr>
              <w:spacing w:line="312" w:lineRule="auto"/>
              <w:jc w:val="center"/>
              <w:rPr>
                <w:rFonts w:eastAsia="Calibri"/>
                <w:sz w:val="26"/>
                <w:szCs w:val="26"/>
              </w:rPr>
            </w:pPr>
            <w:r>
              <w:rPr>
                <w:rFonts w:eastAsia="Calibri"/>
                <w:sz w:val="26"/>
                <w:szCs w:val="26"/>
              </w:rPr>
              <w:t>0.657**</w:t>
            </w:r>
          </w:p>
        </w:tc>
      </w:tr>
      <w:tr w:rsidR="00332399" w14:paraId="309C5F4B" w14:textId="77777777">
        <w:tc>
          <w:tcPr>
            <w:tcW w:w="1254" w:type="pct"/>
            <w:shd w:val="clear" w:color="auto" w:fill="auto"/>
          </w:tcPr>
          <w:p w14:paraId="7DABA7C2" w14:textId="77777777" w:rsidR="00332399" w:rsidRDefault="00000000" w:rsidP="00B21062">
            <w:pPr>
              <w:spacing w:line="312" w:lineRule="auto"/>
              <w:rPr>
                <w:rFonts w:eastAsia="Calibri"/>
                <w:sz w:val="26"/>
                <w:szCs w:val="26"/>
              </w:rPr>
            </w:pPr>
            <w:r>
              <w:rPr>
                <w:rFonts w:eastAsia="Calibri"/>
                <w:sz w:val="26"/>
                <w:szCs w:val="26"/>
              </w:rPr>
              <w:t>AC*D(Inc)</w:t>
            </w:r>
          </w:p>
        </w:tc>
        <w:tc>
          <w:tcPr>
            <w:tcW w:w="981" w:type="pct"/>
            <w:shd w:val="clear" w:color="auto" w:fill="auto"/>
          </w:tcPr>
          <w:p w14:paraId="3D4FB97C"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368B9533" w14:textId="77777777" w:rsidR="00332399" w:rsidRDefault="00000000" w:rsidP="00B21062">
            <w:pPr>
              <w:spacing w:line="312" w:lineRule="auto"/>
              <w:jc w:val="center"/>
              <w:rPr>
                <w:rFonts w:eastAsia="Calibri"/>
                <w:sz w:val="26"/>
                <w:szCs w:val="26"/>
              </w:rPr>
            </w:pPr>
            <w:r>
              <w:rPr>
                <w:rFonts w:eastAsia="Calibri"/>
                <w:sz w:val="26"/>
                <w:szCs w:val="26"/>
              </w:rPr>
              <w:t>0.228</w:t>
            </w:r>
          </w:p>
        </w:tc>
        <w:tc>
          <w:tcPr>
            <w:tcW w:w="894" w:type="pct"/>
          </w:tcPr>
          <w:p w14:paraId="23E7A67D"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3" w:type="pct"/>
          </w:tcPr>
          <w:p w14:paraId="08EABE8A" w14:textId="77777777" w:rsidR="00332399" w:rsidRDefault="00000000" w:rsidP="00B21062">
            <w:pPr>
              <w:spacing w:line="312" w:lineRule="auto"/>
              <w:jc w:val="center"/>
              <w:rPr>
                <w:rFonts w:eastAsia="Calibri"/>
                <w:sz w:val="26"/>
                <w:szCs w:val="26"/>
              </w:rPr>
            </w:pPr>
            <w:r>
              <w:rPr>
                <w:rFonts w:eastAsia="Calibri"/>
                <w:sz w:val="26"/>
                <w:szCs w:val="26"/>
              </w:rPr>
              <w:t>-</w:t>
            </w:r>
          </w:p>
        </w:tc>
      </w:tr>
      <w:tr w:rsidR="00332399" w14:paraId="4F5FAE09" w14:textId="77777777">
        <w:tc>
          <w:tcPr>
            <w:tcW w:w="1254" w:type="pct"/>
            <w:shd w:val="clear" w:color="auto" w:fill="auto"/>
          </w:tcPr>
          <w:p w14:paraId="7A008BB2" w14:textId="77777777" w:rsidR="00332399" w:rsidRDefault="00000000" w:rsidP="00B21062">
            <w:pPr>
              <w:spacing w:line="312" w:lineRule="auto"/>
              <w:rPr>
                <w:rFonts w:eastAsia="Calibri"/>
                <w:sz w:val="26"/>
                <w:szCs w:val="26"/>
              </w:rPr>
            </w:pPr>
            <w:r>
              <w:rPr>
                <w:rFonts w:eastAsia="Calibri"/>
                <w:sz w:val="26"/>
                <w:szCs w:val="26"/>
              </w:rPr>
              <w:t>RE*D(Inc)</w:t>
            </w:r>
          </w:p>
        </w:tc>
        <w:tc>
          <w:tcPr>
            <w:tcW w:w="981" w:type="pct"/>
            <w:shd w:val="clear" w:color="auto" w:fill="auto"/>
          </w:tcPr>
          <w:p w14:paraId="01FC2880"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41AA5B4A" w14:textId="77777777" w:rsidR="00332399" w:rsidRDefault="00000000" w:rsidP="00B21062">
            <w:pPr>
              <w:spacing w:line="312" w:lineRule="auto"/>
              <w:jc w:val="center"/>
              <w:rPr>
                <w:rFonts w:eastAsia="Calibri"/>
                <w:sz w:val="26"/>
                <w:szCs w:val="26"/>
              </w:rPr>
            </w:pPr>
            <w:r>
              <w:rPr>
                <w:rFonts w:eastAsia="Calibri"/>
                <w:sz w:val="26"/>
                <w:szCs w:val="26"/>
              </w:rPr>
              <w:t>0.214</w:t>
            </w:r>
          </w:p>
        </w:tc>
        <w:tc>
          <w:tcPr>
            <w:tcW w:w="894" w:type="pct"/>
          </w:tcPr>
          <w:p w14:paraId="3F7D06D8"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3" w:type="pct"/>
          </w:tcPr>
          <w:p w14:paraId="3A7C5899" w14:textId="77777777" w:rsidR="00332399" w:rsidRDefault="00000000" w:rsidP="00B21062">
            <w:pPr>
              <w:spacing w:line="312" w:lineRule="auto"/>
              <w:jc w:val="center"/>
              <w:rPr>
                <w:rFonts w:eastAsia="Calibri"/>
                <w:sz w:val="26"/>
                <w:szCs w:val="26"/>
              </w:rPr>
            </w:pPr>
            <w:r>
              <w:rPr>
                <w:rFonts w:eastAsia="Calibri"/>
                <w:sz w:val="26"/>
                <w:szCs w:val="26"/>
              </w:rPr>
              <w:t>-</w:t>
            </w:r>
          </w:p>
        </w:tc>
      </w:tr>
      <w:tr w:rsidR="00332399" w14:paraId="300255F6" w14:textId="77777777">
        <w:tc>
          <w:tcPr>
            <w:tcW w:w="1254" w:type="pct"/>
            <w:shd w:val="clear" w:color="auto" w:fill="auto"/>
          </w:tcPr>
          <w:p w14:paraId="24A481E9" w14:textId="77777777" w:rsidR="00332399" w:rsidRDefault="00000000" w:rsidP="00B21062">
            <w:pPr>
              <w:spacing w:line="312" w:lineRule="auto"/>
              <w:rPr>
                <w:rFonts w:eastAsia="Calibri"/>
                <w:sz w:val="26"/>
                <w:szCs w:val="26"/>
              </w:rPr>
            </w:pPr>
            <w:r>
              <w:rPr>
                <w:rFonts w:eastAsia="Calibri"/>
                <w:sz w:val="26"/>
                <w:szCs w:val="26"/>
              </w:rPr>
              <w:t>AVA*D(Inc)</w:t>
            </w:r>
          </w:p>
        </w:tc>
        <w:tc>
          <w:tcPr>
            <w:tcW w:w="981" w:type="pct"/>
            <w:shd w:val="clear" w:color="auto" w:fill="auto"/>
          </w:tcPr>
          <w:p w14:paraId="56189E09"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0973A9AC" w14:textId="77777777" w:rsidR="00332399" w:rsidRDefault="00000000" w:rsidP="00B21062">
            <w:pPr>
              <w:spacing w:line="312" w:lineRule="auto"/>
              <w:jc w:val="center"/>
              <w:rPr>
                <w:rFonts w:eastAsia="Calibri"/>
                <w:sz w:val="26"/>
                <w:szCs w:val="26"/>
              </w:rPr>
            </w:pPr>
            <w:r>
              <w:rPr>
                <w:rFonts w:eastAsia="Calibri"/>
                <w:sz w:val="26"/>
                <w:szCs w:val="26"/>
              </w:rPr>
              <w:t>0.263</w:t>
            </w:r>
          </w:p>
        </w:tc>
        <w:tc>
          <w:tcPr>
            <w:tcW w:w="894" w:type="pct"/>
          </w:tcPr>
          <w:p w14:paraId="3540DC44"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3" w:type="pct"/>
          </w:tcPr>
          <w:p w14:paraId="144ED9B3" w14:textId="77777777" w:rsidR="00332399" w:rsidRDefault="00000000" w:rsidP="00B21062">
            <w:pPr>
              <w:spacing w:line="312" w:lineRule="auto"/>
              <w:jc w:val="center"/>
              <w:rPr>
                <w:rFonts w:eastAsia="Calibri"/>
                <w:sz w:val="26"/>
                <w:szCs w:val="26"/>
              </w:rPr>
            </w:pPr>
            <w:r>
              <w:rPr>
                <w:rFonts w:eastAsia="Calibri"/>
                <w:sz w:val="26"/>
                <w:szCs w:val="26"/>
              </w:rPr>
              <w:t>-</w:t>
            </w:r>
          </w:p>
        </w:tc>
      </w:tr>
      <w:tr w:rsidR="00332399" w14:paraId="086C3C6B" w14:textId="77777777">
        <w:tc>
          <w:tcPr>
            <w:tcW w:w="1254" w:type="pct"/>
            <w:shd w:val="clear" w:color="auto" w:fill="auto"/>
          </w:tcPr>
          <w:p w14:paraId="64A87F1A" w14:textId="77777777" w:rsidR="00332399" w:rsidRDefault="00000000" w:rsidP="00B21062">
            <w:pPr>
              <w:spacing w:line="312" w:lineRule="auto"/>
              <w:rPr>
                <w:rFonts w:eastAsia="Calibri"/>
                <w:sz w:val="26"/>
                <w:szCs w:val="26"/>
              </w:rPr>
            </w:pPr>
            <w:r>
              <w:rPr>
                <w:rFonts w:eastAsia="Calibri"/>
                <w:sz w:val="26"/>
                <w:szCs w:val="26"/>
              </w:rPr>
              <w:lastRenderedPageBreak/>
              <w:t>AC*D(Exp)</w:t>
            </w:r>
          </w:p>
        </w:tc>
        <w:tc>
          <w:tcPr>
            <w:tcW w:w="981" w:type="pct"/>
            <w:shd w:val="clear" w:color="auto" w:fill="auto"/>
          </w:tcPr>
          <w:p w14:paraId="2F210640"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20F99E1E"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4" w:type="pct"/>
          </w:tcPr>
          <w:p w14:paraId="2333A8B6" w14:textId="77777777" w:rsidR="00332399" w:rsidRDefault="00000000" w:rsidP="00B21062">
            <w:pPr>
              <w:spacing w:line="312" w:lineRule="auto"/>
              <w:jc w:val="center"/>
              <w:rPr>
                <w:rFonts w:eastAsia="Calibri"/>
                <w:sz w:val="26"/>
                <w:szCs w:val="26"/>
              </w:rPr>
            </w:pPr>
            <w:r>
              <w:rPr>
                <w:rFonts w:eastAsia="Calibri"/>
                <w:sz w:val="26"/>
                <w:szCs w:val="26"/>
              </w:rPr>
              <w:t>0.239**</w:t>
            </w:r>
          </w:p>
        </w:tc>
        <w:tc>
          <w:tcPr>
            <w:tcW w:w="893" w:type="pct"/>
          </w:tcPr>
          <w:p w14:paraId="0FDC105B" w14:textId="77777777" w:rsidR="00332399" w:rsidRDefault="00000000" w:rsidP="00B21062">
            <w:pPr>
              <w:spacing w:line="312" w:lineRule="auto"/>
              <w:jc w:val="center"/>
              <w:rPr>
                <w:rFonts w:eastAsia="Calibri"/>
                <w:sz w:val="26"/>
                <w:szCs w:val="26"/>
              </w:rPr>
            </w:pPr>
            <w:r>
              <w:rPr>
                <w:rFonts w:eastAsia="Calibri"/>
                <w:sz w:val="26"/>
                <w:szCs w:val="26"/>
              </w:rPr>
              <w:t>-</w:t>
            </w:r>
          </w:p>
        </w:tc>
      </w:tr>
      <w:tr w:rsidR="00332399" w14:paraId="7447D4AE" w14:textId="77777777">
        <w:tc>
          <w:tcPr>
            <w:tcW w:w="1254" w:type="pct"/>
            <w:shd w:val="clear" w:color="auto" w:fill="auto"/>
          </w:tcPr>
          <w:p w14:paraId="3B5681AE" w14:textId="77777777" w:rsidR="00332399" w:rsidRDefault="00000000" w:rsidP="00B21062">
            <w:pPr>
              <w:spacing w:line="312" w:lineRule="auto"/>
              <w:rPr>
                <w:rFonts w:eastAsia="Calibri"/>
                <w:sz w:val="26"/>
                <w:szCs w:val="26"/>
              </w:rPr>
            </w:pPr>
            <w:r>
              <w:rPr>
                <w:rFonts w:eastAsia="Calibri"/>
                <w:sz w:val="26"/>
                <w:szCs w:val="26"/>
              </w:rPr>
              <w:t>RE*D(Exp)</w:t>
            </w:r>
          </w:p>
        </w:tc>
        <w:tc>
          <w:tcPr>
            <w:tcW w:w="981" w:type="pct"/>
            <w:shd w:val="clear" w:color="auto" w:fill="auto"/>
          </w:tcPr>
          <w:p w14:paraId="00B9BB85"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705B7F7B"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4" w:type="pct"/>
          </w:tcPr>
          <w:p w14:paraId="01368B4C" w14:textId="77777777" w:rsidR="00332399" w:rsidRDefault="00000000" w:rsidP="00B21062">
            <w:pPr>
              <w:spacing w:line="312" w:lineRule="auto"/>
              <w:jc w:val="center"/>
              <w:rPr>
                <w:rFonts w:eastAsia="Calibri"/>
                <w:sz w:val="26"/>
                <w:szCs w:val="26"/>
              </w:rPr>
            </w:pPr>
            <w:r>
              <w:rPr>
                <w:rFonts w:eastAsia="Calibri"/>
                <w:sz w:val="26"/>
                <w:szCs w:val="26"/>
              </w:rPr>
              <w:t>-0.291**</w:t>
            </w:r>
          </w:p>
        </w:tc>
        <w:tc>
          <w:tcPr>
            <w:tcW w:w="893" w:type="pct"/>
          </w:tcPr>
          <w:p w14:paraId="248A9A22" w14:textId="77777777" w:rsidR="00332399" w:rsidRDefault="00000000" w:rsidP="00B21062">
            <w:pPr>
              <w:spacing w:line="312" w:lineRule="auto"/>
              <w:jc w:val="center"/>
              <w:rPr>
                <w:rFonts w:eastAsia="Calibri"/>
                <w:sz w:val="26"/>
                <w:szCs w:val="26"/>
              </w:rPr>
            </w:pPr>
            <w:r>
              <w:rPr>
                <w:rFonts w:eastAsia="Calibri"/>
                <w:sz w:val="26"/>
                <w:szCs w:val="26"/>
              </w:rPr>
              <w:t>-</w:t>
            </w:r>
          </w:p>
        </w:tc>
      </w:tr>
      <w:tr w:rsidR="00332399" w14:paraId="35A11EAF" w14:textId="77777777">
        <w:tc>
          <w:tcPr>
            <w:tcW w:w="1254" w:type="pct"/>
            <w:shd w:val="clear" w:color="auto" w:fill="auto"/>
          </w:tcPr>
          <w:p w14:paraId="02B703C0" w14:textId="77777777" w:rsidR="00332399" w:rsidRDefault="00000000" w:rsidP="00B21062">
            <w:pPr>
              <w:spacing w:line="312" w:lineRule="auto"/>
              <w:rPr>
                <w:rFonts w:eastAsia="Calibri"/>
                <w:sz w:val="26"/>
                <w:szCs w:val="26"/>
              </w:rPr>
            </w:pPr>
            <w:r>
              <w:rPr>
                <w:rFonts w:eastAsia="Calibri"/>
                <w:sz w:val="26"/>
                <w:szCs w:val="26"/>
              </w:rPr>
              <w:t>AVA*D(Exp)</w:t>
            </w:r>
          </w:p>
        </w:tc>
        <w:tc>
          <w:tcPr>
            <w:tcW w:w="981" w:type="pct"/>
            <w:shd w:val="clear" w:color="auto" w:fill="auto"/>
          </w:tcPr>
          <w:p w14:paraId="4217813E"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1AC5EC9D"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4" w:type="pct"/>
          </w:tcPr>
          <w:p w14:paraId="3612F949" w14:textId="77777777" w:rsidR="00332399" w:rsidRDefault="00000000" w:rsidP="00B21062">
            <w:pPr>
              <w:spacing w:line="312" w:lineRule="auto"/>
              <w:jc w:val="center"/>
              <w:rPr>
                <w:rFonts w:eastAsia="Calibri"/>
                <w:sz w:val="26"/>
                <w:szCs w:val="26"/>
              </w:rPr>
            </w:pPr>
            <w:r>
              <w:rPr>
                <w:rFonts w:eastAsia="Calibri"/>
                <w:sz w:val="26"/>
                <w:szCs w:val="26"/>
              </w:rPr>
              <w:t>-0.354**</w:t>
            </w:r>
          </w:p>
        </w:tc>
        <w:tc>
          <w:tcPr>
            <w:tcW w:w="893" w:type="pct"/>
          </w:tcPr>
          <w:p w14:paraId="10F22C7B" w14:textId="77777777" w:rsidR="00332399" w:rsidRDefault="00000000" w:rsidP="00B21062">
            <w:pPr>
              <w:spacing w:line="312" w:lineRule="auto"/>
              <w:jc w:val="center"/>
              <w:rPr>
                <w:rFonts w:eastAsia="Calibri"/>
                <w:sz w:val="26"/>
                <w:szCs w:val="26"/>
              </w:rPr>
            </w:pPr>
            <w:r>
              <w:rPr>
                <w:rFonts w:eastAsia="Calibri"/>
                <w:sz w:val="26"/>
                <w:szCs w:val="26"/>
              </w:rPr>
              <w:t>-</w:t>
            </w:r>
          </w:p>
        </w:tc>
      </w:tr>
      <w:tr w:rsidR="00332399" w14:paraId="6E03D49A" w14:textId="77777777">
        <w:tc>
          <w:tcPr>
            <w:tcW w:w="1254" w:type="pct"/>
            <w:shd w:val="clear" w:color="auto" w:fill="auto"/>
          </w:tcPr>
          <w:p w14:paraId="0122FBAA" w14:textId="77777777" w:rsidR="00332399" w:rsidRDefault="00000000" w:rsidP="00B21062">
            <w:pPr>
              <w:spacing w:line="312" w:lineRule="auto"/>
              <w:rPr>
                <w:rFonts w:eastAsia="Calibri"/>
                <w:sz w:val="26"/>
                <w:szCs w:val="26"/>
              </w:rPr>
            </w:pPr>
            <w:r>
              <w:rPr>
                <w:rFonts w:eastAsia="Calibri"/>
                <w:sz w:val="26"/>
                <w:szCs w:val="26"/>
              </w:rPr>
              <w:t>AC*D(HN)</w:t>
            </w:r>
          </w:p>
        </w:tc>
        <w:tc>
          <w:tcPr>
            <w:tcW w:w="981" w:type="pct"/>
            <w:shd w:val="clear" w:color="auto" w:fill="auto"/>
          </w:tcPr>
          <w:p w14:paraId="361D654D"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20C40BD3"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4" w:type="pct"/>
          </w:tcPr>
          <w:p w14:paraId="1C065C38"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3" w:type="pct"/>
          </w:tcPr>
          <w:p w14:paraId="3B0C9D85" w14:textId="77777777" w:rsidR="00332399" w:rsidRDefault="00000000" w:rsidP="00B21062">
            <w:pPr>
              <w:spacing w:line="312" w:lineRule="auto"/>
              <w:jc w:val="center"/>
              <w:rPr>
                <w:rFonts w:eastAsia="Calibri"/>
                <w:sz w:val="26"/>
                <w:szCs w:val="26"/>
              </w:rPr>
            </w:pPr>
            <w:r>
              <w:rPr>
                <w:rFonts w:eastAsia="Calibri"/>
                <w:sz w:val="26"/>
                <w:szCs w:val="26"/>
              </w:rPr>
              <w:t>-0.035</w:t>
            </w:r>
          </w:p>
        </w:tc>
      </w:tr>
      <w:tr w:rsidR="00332399" w14:paraId="2BA57C42" w14:textId="77777777">
        <w:tc>
          <w:tcPr>
            <w:tcW w:w="1254" w:type="pct"/>
            <w:shd w:val="clear" w:color="auto" w:fill="auto"/>
          </w:tcPr>
          <w:p w14:paraId="23FFF742" w14:textId="77777777" w:rsidR="00332399" w:rsidRDefault="00000000" w:rsidP="00B21062">
            <w:pPr>
              <w:spacing w:line="312" w:lineRule="auto"/>
              <w:rPr>
                <w:rFonts w:eastAsia="Calibri"/>
                <w:sz w:val="26"/>
                <w:szCs w:val="26"/>
              </w:rPr>
            </w:pPr>
            <w:r>
              <w:rPr>
                <w:rFonts w:eastAsia="Calibri"/>
                <w:sz w:val="26"/>
                <w:szCs w:val="26"/>
              </w:rPr>
              <w:t>RE*D(HN)</w:t>
            </w:r>
          </w:p>
        </w:tc>
        <w:tc>
          <w:tcPr>
            <w:tcW w:w="981" w:type="pct"/>
            <w:shd w:val="clear" w:color="auto" w:fill="auto"/>
          </w:tcPr>
          <w:p w14:paraId="2DBD5441"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5355FAB5"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4" w:type="pct"/>
          </w:tcPr>
          <w:p w14:paraId="247FDB54"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3" w:type="pct"/>
          </w:tcPr>
          <w:p w14:paraId="580DFCBB" w14:textId="77777777" w:rsidR="00332399" w:rsidRDefault="00000000" w:rsidP="00B21062">
            <w:pPr>
              <w:spacing w:line="312" w:lineRule="auto"/>
              <w:jc w:val="center"/>
              <w:rPr>
                <w:rFonts w:eastAsia="Calibri"/>
                <w:sz w:val="26"/>
                <w:szCs w:val="26"/>
              </w:rPr>
            </w:pPr>
            <w:r>
              <w:rPr>
                <w:rFonts w:eastAsia="Calibri"/>
                <w:sz w:val="26"/>
                <w:szCs w:val="26"/>
              </w:rPr>
              <w:t>-0.183</w:t>
            </w:r>
          </w:p>
        </w:tc>
      </w:tr>
      <w:tr w:rsidR="00332399" w14:paraId="623E90B6" w14:textId="77777777">
        <w:tc>
          <w:tcPr>
            <w:tcW w:w="1254" w:type="pct"/>
            <w:shd w:val="clear" w:color="auto" w:fill="auto"/>
          </w:tcPr>
          <w:p w14:paraId="069CC027" w14:textId="77777777" w:rsidR="00332399" w:rsidRDefault="00000000" w:rsidP="00B21062">
            <w:pPr>
              <w:spacing w:line="312" w:lineRule="auto"/>
              <w:rPr>
                <w:rFonts w:eastAsia="Calibri"/>
                <w:sz w:val="26"/>
                <w:szCs w:val="26"/>
              </w:rPr>
            </w:pPr>
            <w:r>
              <w:rPr>
                <w:rFonts w:eastAsia="Calibri"/>
                <w:sz w:val="26"/>
                <w:szCs w:val="26"/>
              </w:rPr>
              <w:t>AVA*D(HN)</w:t>
            </w:r>
          </w:p>
        </w:tc>
        <w:tc>
          <w:tcPr>
            <w:tcW w:w="981" w:type="pct"/>
            <w:shd w:val="clear" w:color="auto" w:fill="auto"/>
          </w:tcPr>
          <w:p w14:paraId="46845948"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978" w:type="pct"/>
          </w:tcPr>
          <w:p w14:paraId="5E61F313"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4" w:type="pct"/>
          </w:tcPr>
          <w:p w14:paraId="6EB70A86" w14:textId="77777777" w:rsidR="00332399" w:rsidRDefault="00000000" w:rsidP="00B21062">
            <w:pPr>
              <w:spacing w:line="312" w:lineRule="auto"/>
              <w:jc w:val="center"/>
              <w:rPr>
                <w:rFonts w:eastAsia="Calibri"/>
                <w:sz w:val="26"/>
                <w:szCs w:val="26"/>
              </w:rPr>
            </w:pPr>
            <w:r>
              <w:rPr>
                <w:rFonts w:eastAsia="Calibri"/>
                <w:sz w:val="26"/>
                <w:szCs w:val="26"/>
              </w:rPr>
              <w:t>-</w:t>
            </w:r>
          </w:p>
        </w:tc>
        <w:tc>
          <w:tcPr>
            <w:tcW w:w="893" w:type="pct"/>
          </w:tcPr>
          <w:p w14:paraId="7F1BA2B9" w14:textId="77777777" w:rsidR="00332399" w:rsidRDefault="00000000" w:rsidP="00B21062">
            <w:pPr>
              <w:spacing w:line="312" w:lineRule="auto"/>
              <w:jc w:val="center"/>
              <w:rPr>
                <w:rFonts w:eastAsia="Calibri"/>
                <w:sz w:val="26"/>
                <w:szCs w:val="26"/>
              </w:rPr>
            </w:pPr>
            <w:r>
              <w:rPr>
                <w:rFonts w:eastAsia="Calibri"/>
                <w:sz w:val="26"/>
                <w:szCs w:val="26"/>
              </w:rPr>
              <w:t>0.104</w:t>
            </w:r>
          </w:p>
        </w:tc>
      </w:tr>
      <w:tr w:rsidR="00332399" w14:paraId="2AF01B18" w14:textId="77777777">
        <w:tc>
          <w:tcPr>
            <w:tcW w:w="1254" w:type="pct"/>
            <w:shd w:val="clear" w:color="auto" w:fill="auto"/>
          </w:tcPr>
          <w:p w14:paraId="1542798D" w14:textId="77777777" w:rsidR="00332399" w:rsidRPr="00C8069C" w:rsidRDefault="00000000" w:rsidP="00B21062">
            <w:pPr>
              <w:spacing w:line="312" w:lineRule="auto"/>
              <w:rPr>
                <w:rFonts w:eastAsia="Calibri"/>
                <w:sz w:val="26"/>
                <w:szCs w:val="26"/>
                <w:lang w:val="pt-PT"/>
              </w:rPr>
            </w:pPr>
            <w:r w:rsidRPr="00C8069C">
              <w:rPr>
                <w:rFonts w:eastAsia="Calibri"/>
                <w:sz w:val="26"/>
                <w:szCs w:val="26"/>
                <w:lang w:val="pt-PT"/>
              </w:rPr>
              <w:t>Hệ số xác</w:t>
            </w:r>
          </w:p>
          <w:p w14:paraId="323DCB20" w14:textId="77777777" w:rsidR="00332399" w:rsidRPr="00C8069C" w:rsidRDefault="00000000" w:rsidP="00B21062">
            <w:pPr>
              <w:spacing w:line="312" w:lineRule="auto"/>
              <w:rPr>
                <w:rFonts w:eastAsia="Calibri"/>
                <w:sz w:val="26"/>
                <w:szCs w:val="26"/>
                <w:lang w:val="pt-PT"/>
              </w:rPr>
            </w:pPr>
            <w:r w:rsidRPr="00C8069C">
              <w:rPr>
                <w:rFonts w:eastAsia="Calibri"/>
                <w:sz w:val="26"/>
                <w:szCs w:val="26"/>
                <w:lang w:val="pt-PT"/>
              </w:rPr>
              <w:t>định (R</w:t>
            </w:r>
            <w:r w:rsidRPr="00C8069C">
              <w:rPr>
                <w:rFonts w:eastAsia="Calibri"/>
                <w:sz w:val="26"/>
                <w:szCs w:val="26"/>
                <w:vertAlign w:val="superscript"/>
                <w:lang w:val="pt-PT"/>
              </w:rPr>
              <w:t>2</w:t>
            </w:r>
            <w:r w:rsidRPr="00C8069C">
              <w:rPr>
                <w:rFonts w:eastAsia="Calibri"/>
                <w:sz w:val="26"/>
                <w:szCs w:val="26"/>
                <w:lang w:val="pt-PT"/>
              </w:rPr>
              <w:t>)</w:t>
            </w:r>
          </w:p>
        </w:tc>
        <w:tc>
          <w:tcPr>
            <w:tcW w:w="981" w:type="pct"/>
            <w:shd w:val="clear" w:color="auto" w:fill="auto"/>
          </w:tcPr>
          <w:p w14:paraId="07A6473F" w14:textId="77777777" w:rsidR="00332399" w:rsidRDefault="00000000" w:rsidP="00B21062">
            <w:pPr>
              <w:spacing w:line="312" w:lineRule="auto"/>
              <w:jc w:val="center"/>
              <w:rPr>
                <w:rFonts w:eastAsia="Calibri"/>
                <w:sz w:val="26"/>
                <w:szCs w:val="26"/>
              </w:rPr>
            </w:pPr>
            <w:r>
              <w:rPr>
                <w:rFonts w:eastAsia="Calibri"/>
                <w:sz w:val="26"/>
                <w:szCs w:val="26"/>
              </w:rPr>
              <w:t>0.64</w:t>
            </w:r>
          </w:p>
        </w:tc>
        <w:tc>
          <w:tcPr>
            <w:tcW w:w="978" w:type="pct"/>
          </w:tcPr>
          <w:p w14:paraId="1107ED58" w14:textId="77777777" w:rsidR="00332399" w:rsidRDefault="00000000" w:rsidP="00B21062">
            <w:pPr>
              <w:spacing w:line="312" w:lineRule="auto"/>
              <w:jc w:val="center"/>
              <w:rPr>
                <w:rFonts w:eastAsia="Calibri"/>
                <w:sz w:val="26"/>
                <w:szCs w:val="26"/>
              </w:rPr>
            </w:pPr>
            <w:r>
              <w:rPr>
                <w:rFonts w:eastAsia="Calibri"/>
                <w:sz w:val="26"/>
                <w:szCs w:val="26"/>
              </w:rPr>
              <w:t>0.76</w:t>
            </w:r>
          </w:p>
        </w:tc>
        <w:tc>
          <w:tcPr>
            <w:tcW w:w="894" w:type="pct"/>
          </w:tcPr>
          <w:p w14:paraId="7828F7F2" w14:textId="77777777" w:rsidR="00332399" w:rsidRDefault="00000000" w:rsidP="00B21062">
            <w:pPr>
              <w:spacing w:line="312" w:lineRule="auto"/>
              <w:jc w:val="center"/>
              <w:rPr>
                <w:rFonts w:eastAsia="Calibri"/>
                <w:sz w:val="26"/>
                <w:szCs w:val="26"/>
              </w:rPr>
            </w:pPr>
            <w:r>
              <w:rPr>
                <w:rFonts w:eastAsia="Calibri"/>
                <w:sz w:val="26"/>
                <w:szCs w:val="26"/>
              </w:rPr>
              <w:t>0.69</w:t>
            </w:r>
          </w:p>
        </w:tc>
        <w:tc>
          <w:tcPr>
            <w:tcW w:w="893" w:type="pct"/>
          </w:tcPr>
          <w:p w14:paraId="56BCFAD8" w14:textId="77777777" w:rsidR="00332399" w:rsidRDefault="00000000" w:rsidP="00B21062">
            <w:pPr>
              <w:spacing w:line="312" w:lineRule="auto"/>
              <w:jc w:val="center"/>
              <w:rPr>
                <w:rFonts w:eastAsia="Calibri"/>
                <w:sz w:val="26"/>
                <w:szCs w:val="26"/>
              </w:rPr>
            </w:pPr>
            <w:r>
              <w:rPr>
                <w:rFonts w:eastAsia="Calibri"/>
                <w:sz w:val="26"/>
                <w:szCs w:val="26"/>
              </w:rPr>
              <w:t>0.71</w:t>
            </w:r>
          </w:p>
        </w:tc>
      </w:tr>
    </w:tbl>
    <w:p w14:paraId="584C2D67" w14:textId="77777777" w:rsidR="00332399" w:rsidRDefault="00000000" w:rsidP="00B21062">
      <w:pPr>
        <w:spacing w:line="312" w:lineRule="auto"/>
        <w:jc w:val="right"/>
        <w:outlineLvl w:val="1"/>
        <w:rPr>
          <w:rFonts w:eastAsia="Calibri"/>
          <w:i/>
          <w:iCs/>
          <w:sz w:val="24"/>
          <w:szCs w:val="24"/>
        </w:rPr>
      </w:pPr>
      <w:bookmarkStart w:id="26" w:name="_Toc13677"/>
      <w:bookmarkStart w:id="27" w:name="_Toc10515"/>
      <w:bookmarkStart w:id="28" w:name="_Toc1601"/>
      <w:r>
        <w:rPr>
          <w:rFonts w:eastAsia="Calibri"/>
          <w:i/>
          <w:iCs/>
          <w:sz w:val="24"/>
          <w:szCs w:val="24"/>
        </w:rPr>
        <w:t>***,**: Có ý nghĩa ở mức 1% và 5%</w:t>
      </w:r>
      <w:bookmarkEnd w:id="26"/>
      <w:bookmarkEnd w:id="27"/>
      <w:bookmarkEnd w:id="28"/>
    </w:p>
    <w:p w14:paraId="7D769F68"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Kết quả ước lượng mô hình 1 cho thấy nếu không tính đến yếu tố thu nhập và kinh nghiệm đầu tư, các hệ số ước lượng của cả ba yếu tố thuộc thiên lệch tâm lý hành xử theo kinh nghiệm đều có ý nghĩa ở mức 1% chỉ ra rằng các quyết định mua cổ phiếu của nhà đầu tư đều chịu ảnh hưởng của thiên lệch tâm lý này. Khi xem xét ảnh hưởng trong các nhóm thu nhập khác nhau ở mô hình 2, các hệ số ước lượng của các biến giả đều không có ý nghĩa thống kê, cho thấy dù ở mức thu nhập cao hay thấp, các nhà đầu tư đều bị ảnh hưởng bởi thiên lệch tâm lý này. Nhưng với việc tích lũy nhiều kinh nghiệm đầu tư, các nhà đầu tư có thể hạn chế bớt ảnh hưởng của thiên lệch tâm lý này, bằng chứng ở mô hình 3 cho thấy các hệ số hồi quy của các biến giả đều có ý nghĩa thống kê ở mức 5%. Cuối cùng, mô hình 4 nhằm tìm hiểu tác động của các yếu tố hành xử theo kinh nghiệm đối với các nhà đầu tư ở Hà Nội và thành phố Hồ Chí Minh, kết quả ước lượng cho thấy các hệ số gắn với biến giả đều không có ý nghĩa thống kê cho thấy hành vi mua cổ phiếu của các nhà đầu tư ở cả hai khu vực là tương đồng.</w:t>
      </w:r>
    </w:p>
    <w:p w14:paraId="4ACE5490"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 xml:space="preserve">Kết quả nghiên cứu cho thấy với những người chịu ảnh hưởng của yếu tố neo tham chiếu và hiệu chỉnh, họ thường neo vào mức giá cao của một cổ phiếu trong quá khứ và kỳ vọng cổ phiếu này sẽ phục hồi trong thời gian sắp tới, họ có thể sẽ phải chịu mức thua lỗ lớn hơn (Oden, 1998). Với những người chịu ảnh hưởng của tính đại diện, các quyết định mua của họ thường dựa trên những dữ liệu không đầy đủ trong quá khứ dẫn đến việc mua nhầm cổ phiếu. Hay yếu tố thiên vị sẵn có sẽ khiến các họ lựa chọn cổ phiếu dựa trên những thông tin sẵn có như quảng cáo, khuyến nghị đầu tư hay bạn bè mà không tham gia vào nghiên cứu một cách kĩ lưỡng. Tóm lại, bằng chứng từ bốn mô hình </w:t>
      </w:r>
      <w:r>
        <w:rPr>
          <w:rFonts w:eastAsia="Arial"/>
          <w:spacing w:val="0"/>
          <w:sz w:val="26"/>
          <w:szCs w:val="26"/>
        </w:rPr>
        <w:lastRenderedPageBreak/>
        <w:t>hồi quy cho thấy ba yếu tố thuộc thiên lệch tâm lý hành xử theo kinh nghiệm đều ảnh hưởng đến quyết định mua cổ phiếu của các nhà đầu tư cá nhân với bất kể mức thu nhập hay vị trí địa lý nào, tuy nhiên ảnh hưởng này bị hạn chế với những nhà đầu tư có nhiều kinh nghiệm giao dịch trên thị trường chứng khoán.</w:t>
      </w:r>
    </w:p>
    <w:p w14:paraId="321C9BD9" w14:textId="78245C4E" w:rsidR="00B21062" w:rsidRPr="00B21062" w:rsidRDefault="00000000" w:rsidP="00B21062">
      <w:pPr>
        <w:spacing w:before="160" w:after="160" w:line="312" w:lineRule="auto"/>
        <w:jc w:val="both"/>
        <w:rPr>
          <w:rFonts w:eastAsia="Arial"/>
          <w:spacing w:val="0"/>
          <w:sz w:val="26"/>
          <w:szCs w:val="26"/>
          <w:lang w:val="vi-VN"/>
        </w:rPr>
      </w:pPr>
      <w:r>
        <w:rPr>
          <w:rFonts w:eastAsia="Arial"/>
          <w:spacing w:val="0"/>
          <w:sz w:val="26"/>
          <w:szCs w:val="26"/>
        </w:rPr>
        <w:t xml:space="preserve">Do đó để hạn chế ảnh hưởng của những thiên lệch hành xử theo kinh nghiệm, nhà đầu tư cá nhân cần xác định được phương pháp giao dịch cụ thể và tuân thủ kỉ luật, họ có thể tham khảo các phương pháp giao dịch của các nhà đầu tư nổi tiếng trên thế giới. Bên cạnh đó việc cắt lỗ là điều hết sức cần thiết, nhà đầu tư nên thắng thắn nhìn nhận sai lầm và cắt lỗ để tránh bị lỗ nhiều hơn, hoặc luôn luôn đặt lệnh dừng để kiểm soát rủi ro trong mỗi giao dịch. </w:t>
      </w:r>
    </w:p>
    <w:p w14:paraId="4F540F2F" w14:textId="77777777" w:rsidR="00332399" w:rsidRDefault="00000000" w:rsidP="00B21062">
      <w:pPr>
        <w:pStyle w:val="Heading1"/>
        <w:spacing w:line="312" w:lineRule="auto"/>
      </w:pPr>
      <w:bookmarkStart w:id="29" w:name="_Toc8272"/>
      <w:bookmarkStart w:id="30" w:name="_Toc3019"/>
      <w:bookmarkStart w:id="31" w:name="_Toc26601"/>
      <w:r>
        <w:t>3. KẾT LUẬN</w:t>
      </w:r>
      <w:bookmarkEnd w:id="29"/>
      <w:bookmarkEnd w:id="30"/>
      <w:bookmarkEnd w:id="31"/>
    </w:p>
    <w:p w14:paraId="66D75C8F"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 xml:space="preserve">Mặc dù kết quả nghiên cứu đã chỉ ra ảnh hưởng của ba yếu tố tâm lí đến quyết định đầu tư của các nhà đầu tư cá nhân, nhưng nghiên cứu này cũng vẫn còn những hạn chế nhất định, một trong số đó là do giới hạn về nguồn lực và tài chính nên chỉ bao gồm cỡ mẫu 200 nhà đầu tư cá nhân, mặc dù vẫn đạt được yêu cầu cơ bản của phương pháp nghiên cứu, nhưng tác giả mới chỉ tập trung vào các nhà đầu tư cá nhân nên có thể chưa phản ánh được chính xác nhất tâm lý của các nhà đầu tư ở Việt Nam. </w:t>
      </w:r>
    </w:p>
    <w:p w14:paraId="6F06B5A9" w14:textId="77777777" w:rsidR="00332399" w:rsidRDefault="00000000" w:rsidP="00B21062">
      <w:pPr>
        <w:spacing w:before="160" w:after="160" w:line="312" w:lineRule="auto"/>
        <w:jc w:val="both"/>
        <w:rPr>
          <w:rFonts w:eastAsia="Arial"/>
          <w:spacing w:val="0"/>
          <w:sz w:val="26"/>
          <w:szCs w:val="26"/>
          <w:lang w:val="vi-VN"/>
        </w:rPr>
      </w:pPr>
      <w:r>
        <w:rPr>
          <w:rFonts w:eastAsia="Arial"/>
          <w:spacing w:val="0"/>
          <w:sz w:val="26"/>
          <w:szCs w:val="26"/>
        </w:rPr>
        <w:t>Do đó trong tương lai, tác giả sẽ mở rộng mẫu nghiên cứu thêm các nhà đầu tư tổ chức. Ngoài ra, dữ liệu thu thập được cho nghiên cứu này mang tính chủ quan và phụ thuộc ở một mức độ nhất định vào tâm trạng, động cơ, sự sẵn lòng trả lời khảo sát của mỗi cá nhân, do đó dữ liệu này có thể không phản ánh hết được cảm xúc và suy nghĩ của các cá nhân tham gia khảo sát. Cuối cùng, tác giả hy vọng nghiên cứu này sẽ giúp được các nhà đầu tư nhận thức được tác động của các yếu tố tâm lý của chính họ đến việc ra quyết định đầu tư trên thị trường chứng khoán, từ đó nâng cao mức lợi nhuận kiếm được.</w:t>
      </w:r>
    </w:p>
    <w:p w14:paraId="6F5B18BD" w14:textId="77777777" w:rsidR="00B21062" w:rsidRDefault="00B21062" w:rsidP="00B21062">
      <w:pPr>
        <w:spacing w:before="160" w:after="160" w:line="312" w:lineRule="auto"/>
        <w:jc w:val="both"/>
        <w:rPr>
          <w:rFonts w:eastAsia="Arial"/>
          <w:spacing w:val="0"/>
          <w:sz w:val="26"/>
          <w:szCs w:val="26"/>
          <w:lang w:val="vi-VN"/>
        </w:rPr>
      </w:pPr>
    </w:p>
    <w:p w14:paraId="1ABBEBE5" w14:textId="77777777" w:rsidR="00B21062" w:rsidRDefault="00B21062" w:rsidP="00B21062">
      <w:pPr>
        <w:spacing w:before="160" w:after="160" w:line="312" w:lineRule="auto"/>
        <w:jc w:val="both"/>
        <w:rPr>
          <w:rFonts w:eastAsia="Arial"/>
          <w:spacing w:val="0"/>
          <w:sz w:val="26"/>
          <w:szCs w:val="26"/>
          <w:lang w:val="vi-VN"/>
        </w:rPr>
      </w:pPr>
    </w:p>
    <w:p w14:paraId="3A5BB8DB" w14:textId="77777777" w:rsidR="00B21062" w:rsidRDefault="00B21062" w:rsidP="00B21062">
      <w:pPr>
        <w:spacing w:before="160" w:after="160" w:line="312" w:lineRule="auto"/>
        <w:jc w:val="both"/>
        <w:rPr>
          <w:rFonts w:eastAsia="Arial"/>
          <w:spacing w:val="0"/>
          <w:sz w:val="26"/>
          <w:szCs w:val="26"/>
          <w:lang w:val="vi-VN"/>
        </w:rPr>
      </w:pPr>
    </w:p>
    <w:p w14:paraId="192AD309" w14:textId="77777777" w:rsidR="00B21062" w:rsidRDefault="00B21062" w:rsidP="00B21062">
      <w:pPr>
        <w:spacing w:before="160" w:after="160" w:line="312" w:lineRule="auto"/>
        <w:jc w:val="both"/>
        <w:rPr>
          <w:rFonts w:eastAsia="Arial"/>
          <w:spacing w:val="0"/>
          <w:sz w:val="26"/>
          <w:szCs w:val="26"/>
          <w:lang w:val="vi-VN"/>
        </w:rPr>
      </w:pPr>
    </w:p>
    <w:p w14:paraId="2301A42A" w14:textId="77777777" w:rsidR="00B21062" w:rsidRPr="00B21062" w:rsidRDefault="00B21062" w:rsidP="00B21062">
      <w:pPr>
        <w:spacing w:before="160" w:after="160" w:line="312" w:lineRule="auto"/>
        <w:jc w:val="both"/>
        <w:rPr>
          <w:rFonts w:eastAsia="Arial"/>
          <w:spacing w:val="0"/>
          <w:sz w:val="26"/>
          <w:szCs w:val="26"/>
          <w:lang w:val="vi-VN"/>
        </w:rPr>
      </w:pPr>
    </w:p>
    <w:p w14:paraId="6F73FAD2" w14:textId="77777777" w:rsidR="00332399" w:rsidRDefault="00000000" w:rsidP="00B21062">
      <w:pPr>
        <w:pStyle w:val="Heading1"/>
        <w:spacing w:line="312" w:lineRule="auto"/>
      </w:pPr>
      <w:bookmarkStart w:id="32" w:name="_Toc29551"/>
      <w:bookmarkStart w:id="33" w:name="_Toc8202"/>
      <w:bookmarkStart w:id="34" w:name="_Toc11961"/>
      <w:r>
        <w:lastRenderedPageBreak/>
        <w:t>4. TÀI LIỆU THAM KHẢO</w:t>
      </w:r>
      <w:bookmarkEnd w:id="32"/>
      <w:bookmarkEnd w:id="33"/>
      <w:bookmarkEnd w:id="34"/>
    </w:p>
    <w:p w14:paraId="4F6A2FD1"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sidRPr="00C8069C">
        <w:rPr>
          <w:rFonts w:eastAsia="Arial"/>
          <w:spacing w:val="0"/>
          <w:sz w:val="26"/>
          <w:szCs w:val="26"/>
          <w:lang w:val="nl-NL"/>
        </w:rPr>
        <w:t xml:space="preserve">Ariely, D., Loewenstein, G., &amp; Prelec, D. (2006). </w:t>
      </w:r>
      <w:r>
        <w:rPr>
          <w:rFonts w:eastAsia="Arial"/>
          <w:spacing w:val="0"/>
          <w:sz w:val="26"/>
          <w:szCs w:val="26"/>
        </w:rPr>
        <w:t>“</w:t>
      </w:r>
      <w:r>
        <w:rPr>
          <w:rFonts w:eastAsia="Arial"/>
          <w:i/>
          <w:iCs/>
          <w:spacing w:val="0"/>
          <w:sz w:val="26"/>
          <w:szCs w:val="26"/>
        </w:rPr>
        <w:t xml:space="preserve">Tom Sawyer and the construction of value”. </w:t>
      </w:r>
      <w:r>
        <w:rPr>
          <w:rFonts w:eastAsia="Arial"/>
          <w:spacing w:val="0"/>
          <w:sz w:val="26"/>
          <w:szCs w:val="26"/>
        </w:rPr>
        <w:t>Journal of Economic Behavior &amp; Orga-nization, 60(1), 1-10.</w:t>
      </w:r>
    </w:p>
    <w:p w14:paraId="37B94390"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sidRPr="00C8069C">
        <w:rPr>
          <w:rFonts w:eastAsia="Arial"/>
          <w:spacing w:val="0"/>
          <w:sz w:val="26"/>
          <w:szCs w:val="26"/>
          <w:lang w:val="de-DE"/>
        </w:rPr>
        <w:t>Barber, B. M., &amp; Odean, T. (2002</w:t>
      </w:r>
      <w:r w:rsidRPr="00C8069C">
        <w:rPr>
          <w:rFonts w:eastAsia="Arial"/>
          <w:i/>
          <w:iCs/>
          <w:spacing w:val="0"/>
          <w:sz w:val="26"/>
          <w:szCs w:val="26"/>
          <w:lang w:val="de-DE"/>
        </w:rPr>
        <w:t xml:space="preserve">). </w:t>
      </w:r>
      <w:r>
        <w:rPr>
          <w:rFonts w:eastAsia="Arial"/>
          <w:i/>
          <w:iCs/>
          <w:spacing w:val="0"/>
          <w:sz w:val="26"/>
          <w:szCs w:val="26"/>
        </w:rPr>
        <w:t>“Online investors: Do the slow die first?”.</w:t>
      </w:r>
      <w:r>
        <w:rPr>
          <w:rFonts w:eastAsia="Arial"/>
          <w:spacing w:val="0"/>
          <w:sz w:val="26"/>
          <w:szCs w:val="26"/>
        </w:rPr>
        <w:t xml:space="preserve"> Review of Fi-nancial Studies, 15(2), 455-488</w:t>
      </w:r>
    </w:p>
    <w:p w14:paraId="5961AE99"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sidRPr="00C8069C">
        <w:rPr>
          <w:rFonts w:eastAsia="Arial"/>
          <w:spacing w:val="0"/>
          <w:sz w:val="26"/>
          <w:szCs w:val="26"/>
          <w:lang w:val="de-DE"/>
        </w:rPr>
        <w:t xml:space="preserve">Barber, B. M., Odean, T., &amp; Zhu, N.(2009). </w:t>
      </w:r>
      <w:r>
        <w:rPr>
          <w:rFonts w:eastAsia="Arial"/>
          <w:spacing w:val="0"/>
          <w:sz w:val="26"/>
          <w:szCs w:val="26"/>
        </w:rPr>
        <w:t>“</w:t>
      </w:r>
      <w:r>
        <w:rPr>
          <w:rFonts w:eastAsia="Arial"/>
          <w:i/>
          <w:iCs/>
          <w:spacing w:val="0"/>
          <w:sz w:val="26"/>
          <w:szCs w:val="26"/>
        </w:rPr>
        <w:t>Systematic noise”</w:t>
      </w:r>
      <w:r>
        <w:rPr>
          <w:rFonts w:eastAsia="Arial"/>
          <w:spacing w:val="0"/>
          <w:sz w:val="26"/>
          <w:szCs w:val="26"/>
        </w:rPr>
        <w:t>. Journal of Financial Markets, 12(4), 547-569</w:t>
      </w:r>
    </w:p>
    <w:p w14:paraId="137401C5"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Pr>
          <w:rFonts w:eastAsia="Arial"/>
          <w:spacing w:val="0"/>
          <w:sz w:val="26"/>
          <w:szCs w:val="26"/>
        </w:rPr>
        <w:t>Campbell, S. D., &amp; Sharpe, S. A. (2009). “</w:t>
      </w:r>
      <w:r>
        <w:rPr>
          <w:rFonts w:eastAsia="Arial"/>
          <w:i/>
          <w:iCs/>
          <w:spacing w:val="0"/>
          <w:sz w:val="26"/>
          <w:szCs w:val="26"/>
        </w:rPr>
        <w:t>Anchoring bias in consensus forecasts and its effect on market prices”</w:t>
      </w:r>
      <w:r>
        <w:rPr>
          <w:rFonts w:eastAsia="Arial"/>
          <w:spacing w:val="0"/>
          <w:sz w:val="26"/>
          <w:szCs w:val="26"/>
        </w:rPr>
        <w:t>. Journal of Financial and Quantitative Analysis, 44(02), 369-390</w:t>
      </w:r>
    </w:p>
    <w:p w14:paraId="6474A267"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Pr>
          <w:rFonts w:eastAsia="Arial"/>
          <w:spacing w:val="0"/>
          <w:sz w:val="26"/>
          <w:szCs w:val="26"/>
        </w:rPr>
        <w:t>Cen, L., Hilary, G., &amp; Wei, K.C. (2013). “</w:t>
      </w:r>
      <w:r>
        <w:rPr>
          <w:rFonts w:eastAsia="Arial"/>
          <w:i/>
          <w:iCs/>
          <w:spacing w:val="0"/>
          <w:sz w:val="26"/>
          <w:szCs w:val="26"/>
        </w:rPr>
        <w:t>The role of anchoring bias in the equity market: Evidence from analysts' earnings forecasts and stock returns”</w:t>
      </w:r>
      <w:r>
        <w:rPr>
          <w:rFonts w:eastAsia="Arial"/>
          <w:spacing w:val="0"/>
          <w:sz w:val="26"/>
          <w:szCs w:val="26"/>
        </w:rPr>
        <w:t>. Journal of Financi-al and Quantitative Analysis, 48(01), 47-76</w:t>
      </w:r>
    </w:p>
    <w:p w14:paraId="69874054"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sidRPr="00C8069C">
        <w:rPr>
          <w:rFonts w:eastAsia="Arial"/>
          <w:spacing w:val="0"/>
          <w:sz w:val="26"/>
          <w:szCs w:val="26"/>
          <w:lang w:val="fr-FR"/>
        </w:rPr>
        <w:t xml:space="preserve">Cox, C., &amp; Mouw, J. T. (1992). </w:t>
      </w:r>
      <w:r>
        <w:rPr>
          <w:rFonts w:eastAsia="Arial"/>
          <w:spacing w:val="0"/>
          <w:sz w:val="26"/>
          <w:szCs w:val="26"/>
        </w:rPr>
        <w:t>“</w:t>
      </w:r>
      <w:r>
        <w:rPr>
          <w:rFonts w:eastAsia="Arial"/>
          <w:i/>
          <w:iCs/>
          <w:spacing w:val="0"/>
          <w:sz w:val="26"/>
          <w:szCs w:val="26"/>
        </w:rPr>
        <w:t>Disruption of the representativeness heuristic: Can we be perturbed into using correct probabilistic reas-oning?”.</w:t>
      </w:r>
      <w:r>
        <w:rPr>
          <w:rFonts w:eastAsia="Arial"/>
          <w:spacing w:val="0"/>
          <w:sz w:val="26"/>
          <w:szCs w:val="26"/>
        </w:rPr>
        <w:t xml:space="preserve"> Educational Studies in Mathematics, 23(2), 163-178</w:t>
      </w:r>
    </w:p>
    <w:p w14:paraId="04BBBA79"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Pr>
          <w:rFonts w:eastAsia="Arial"/>
          <w:spacing w:val="0"/>
          <w:sz w:val="26"/>
          <w:szCs w:val="26"/>
        </w:rPr>
        <w:t xml:space="preserve">Johnson, W. B. (1983). </w:t>
      </w:r>
      <w:r>
        <w:rPr>
          <w:rFonts w:eastAsia="Arial"/>
          <w:i/>
          <w:iCs/>
          <w:spacing w:val="0"/>
          <w:sz w:val="26"/>
          <w:szCs w:val="26"/>
        </w:rPr>
        <w:t>“Representativeness in judgmental predictions of corporate bankruptcy”</w:t>
      </w:r>
      <w:r>
        <w:rPr>
          <w:rFonts w:eastAsia="Arial"/>
          <w:spacing w:val="0"/>
          <w:sz w:val="26"/>
          <w:szCs w:val="26"/>
        </w:rPr>
        <w:t>. Accounting Review, 78-97</w:t>
      </w:r>
    </w:p>
    <w:p w14:paraId="30ED7346"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Pr>
          <w:rFonts w:eastAsia="Arial"/>
          <w:spacing w:val="0"/>
          <w:sz w:val="26"/>
          <w:szCs w:val="26"/>
        </w:rPr>
        <w:t>Odean, T. (1998). “</w:t>
      </w:r>
      <w:r>
        <w:rPr>
          <w:rFonts w:eastAsia="Arial"/>
          <w:i/>
          <w:iCs/>
          <w:spacing w:val="0"/>
          <w:sz w:val="26"/>
          <w:szCs w:val="26"/>
        </w:rPr>
        <w:t>Do investors trade too much?”</w:t>
      </w:r>
      <w:r>
        <w:rPr>
          <w:rFonts w:eastAsia="Arial"/>
          <w:spacing w:val="0"/>
          <w:sz w:val="26"/>
          <w:szCs w:val="26"/>
        </w:rPr>
        <w:t>. Retrieved on October 10th 2024, from SSRN 94143</w:t>
      </w:r>
    </w:p>
    <w:p w14:paraId="206C0A91"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Pr>
          <w:rFonts w:eastAsia="Arial"/>
          <w:spacing w:val="0"/>
          <w:sz w:val="26"/>
          <w:szCs w:val="26"/>
        </w:rPr>
        <w:t>Pompian, M. M. (2006). “</w:t>
      </w:r>
      <w:r>
        <w:rPr>
          <w:rFonts w:eastAsia="Arial"/>
          <w:i/>
          <w:iCs/>
          <w:spacing w:val="0"/>
          <w:sz w:val="26"/>
          <w:szCs w:val="26"/>
        </w:rPr>
        <w:t>Behavioral finance and wealth management. How to build optimal portfolios that account for investor biases</w:t>
      </w:r>
      <w:r>
        <w:rPr>
          <w:rFonts w:eastAsia="Arial"/>
          <w:spacing w:val="0"/>
          <w:sz w:val="26"/>
          <w:szCs w:val="26"/>
        </w:rPr>
        <w:t>”. John Wiley &amp; Sons, Inc., Hoboken, New Jersey, Canada</w:t>
      </w:r>
    </w:p>
    <w:p w14:paraId="6BDE10C0" w14:textId="77777777" w:rsidR="00332399" w:rsidRDefault="00000000" w:rsidP="00B21062">
      <w:pPr>
        <w:numPr>
          <w:ilvl w:val="0"/>
          <w:numId w:val="1"/>
        </w:numPr>
        <w:spacing w:before="160" w:after="160" w:line="312" w:lineRule="auto"/>
        <w:ind w:left="357" w:hanging="357"/>
        <w:jc w:val="both"/>
        <w:rPr>
          <w:rFonts w:eastAsia="Arial"/>
          <w:spacing w:val="0"/>
          <w:sz w:val="26"/>
          <w:szCs w:val="26"/>
        </w:rPr>
      </w:pPr>
      <w:r>
        <w:rPr>
          <w:rFonts w:eastAsia="Arial"/>
          <w:spacing w:val="0"/>
          <w:sz w:val="26"/>
          <w:szCs w:val="26"/>
        </w:rPr>
        <w:t xml:space="preserve"> Tversky, A., &amp; Kahneman, D. (1974). “</w:t>
      </w:r>
      <w:r>
        <w:rPr>
          <w:rFonts w:eastAsia="Arial"/>
          <w:i/>
          <w:iCs/>
          <w:spacing w:val="0"/>
          <w:sz w:val="26"/>
          <w:szCs w:val="26"/>
        </w:rPr>
        <w:t>Judgement under uncertainty: Heuristics and biases”</w:t>
      </w:r>
      <w:r>
        <w:rPr>
          <w:rFonts w:eastAsia="Arial"/>
          <w:spacing w:val="0"/>
          <w:sz w:val="26"/>
          <w:szCs w:val="26"/>
        </w:rPr>
        <w:t>. Science, 185(4157), 1124-1131</w:t>
      </w:r>
    </w:p>
    <w:p w14:paraId="413578CE" w14:textId="77777777" w:rsidR="00332399" w:rsidRPr="00B21062" w:rsidRDefault="00000000" w:rsidP="00B21062">
      <w:pPr>
        <w:numPr>
          <w:ilvl w:val="0"/>
          <w:numId w:val="1"/>
        </w:numPr>
        <w:spacing w:before="160" w:after="160" w:line="312" w:lineRule="auto"/>
        <w:ind w:left="357" w:hanging="357"/>
        <w:jc w:val="both"/>
        <w:rPr>
          <w:rFonts w:eastAsia="Arial"/>
          <w:spacing w:val="0"/>
          <w:sz w:val="26"/>
          <w:szCs w:val="26"/>
        </w:rPr>
      </w:pPr>
      <w:r>
        <w:rPr>
          <w:rFonts w:eastAsia="Arial"/>
          <w:spacing w:val="0"/>
          <w:sz w:val="26"/>
          <w:szCs w:val="26"/>
        </w:rPr>
        <w:t xml:space="preserve"> Williams, B. (2010). “</w:t>
      </w:r>
      <w:r>
        <w:rPr>
          <w:rFonts w:eastAsia="Arial"/>
          <w:i/>
          <w:iCs/>
          <w:spacing w:val="0"/>
          <w:sz w:val="26"/>
          <w:szCs w:val="26"/>
        </w:rPr>
        <w:t>Speculative bubbles dynamics and the role of anchoring”</w:t>
      </w:r>
      <w:r>
        <w:rPr>
          <w:rFonts w:eastAsia="Arial"/>
          <w:spacing w:val="0"/>
          <w:sz w:val="26"/>
          <w:szCs w:val="26"/>
        </w:rPr>
        <w:t>. Retrieved on October 10th 2024, from SSRN 2012455 (2011).</w:t>
      </w:r>
    </w:p>
    <w:p w14:paraId="5B9B4073" w14:textId="77777777" w:rsidR="00B21062" w:rsidRDefault="00B21062" w:rsidP="00B21062">
      <w:pPr>
        <w:spacing w:before="160" w:after="160" w:line="312" w:lineRule="auto"/>
        <w:jc w:val="both"/>
        <w:rPr>
          <w:rFonts w:eastAsia="Arial"/>
          <w:spacing w:val="0"/>
          <w:sz w:val="26"/>
          <w:szCs w:val="26"/>
          <w:lang w:val="vi-VN"/>
        </w:rPr>
      </w:pPr>
    </w:p>
    <w:p w14:paraId="386953A8" w14:textId="77777777" w:rsidR="00B21062" w:rsidRDefault="00B21062" w:rsidP="00B21062">
      <w:pPr>
        <w:spacing w:before="160" w:after="160" w:line="312" w:lineRule="auto"/>
        <w:jc w:val="both"/>
        <w:rPr>
          <w:rFonts w:eastAsia="Arial"/>
          <w:spacing w:val="0"/>
          <w:sz w:val="26"/>
          <w:szCs w:val="26"/>
        </w:rPr>
      </w:pPr>
    </w:p>
    <w:p w14:paraId="3B6855C5" w14:textId="77777777" w:rsidR="00332399" w:rsidRDefault="00000000" w:rsidP="00B21062">
      <w:pPr>
        <w:pStyle w:val="Heading1"/>
        <w:spacing w:line="312" w:lineRule="auto"/>
      </w:pPr>
      <w:bookmarkStart w:id="35" w:name="_Toc19564"/>
      <w:bookmarkStart w:id="36" w:name="_Toc29322"/>
      <w:bookmarkStart w:id="37" w:name="_Toc25441"/>
      <w:r>
        <w:lastRenderedPageBreak/>
        <w:t>5. PHỤ LỤC</w:t>
      </w:r>
      <w:bookmarkEnd w:id="35"/>
      <w:bookmarkEnd w:id="36"/>
      <w:bookmarkEnd w:id="37"/>
    </w:p>
    <w:p w14:paraId="2CAF45BA" w14:textId="77777777" w:rsidR="00332399" w:rsidRDefault="00000000" w:rsidP="00B21062">
      <w:pPr>
        <w:spacing w:line="312" w:lineRule="auto"/>
        <w:outlineLvl w:val="1"/>
        <w:rPr>
          <w:rFonts w:eastAsia="Calibri"/>
          <w:b/>
          <w:bCs/>
          <w:i/>
          <w:iCs/>
          <w:sz w:val="27"/>
          <w:szCs w:val="27"/>
        </w:rPr>
      </w:pPr>
      <w:bookmarkStart w:id="38" w:name="_Toc24920"/>
      <w:bookmarkStart w:id="39" w:name="_Toc16387"/>
      <w:bookmarkStart w:id="40" w:name="_Toc1236"/>
      <w:r>
        <w:rPr>
          <w:rFonts w:eastAsia="Calibri"/>
          <w:b/>
          <w:bCs/>
          <w:i/>
          <w:iCs/>
          <w:sz w:val="27"/>
          <w:szCs w:val="27"/>
        </w:rPr>
        <w:t>5.1. Kết quả khảo sát</w:t>
      </w:r>
      <w:bookmarkEnd w:id="38"/>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53"/>
      </w:tblGrid>
      <w:tr w:rsidR="00332399" w14:paraId="7FCCFC06" w14:textId="77777777">
        <w:tc>
          <w:tcPr>
            <w:tcW w:w="4143" w:type="pct"/>
            <w:shd w:val="clear" w:color="auto" w:fill="auto"/>
            <w:vAlign w:val="center"/>
          </w:tcPr>
          <w:p w14:paraId="5B12BE45" w14:textId="77777777" w:rsidR="00332399" w:rsidRDefault="00000000" w:rsidP="00B21062">
            <w:pPr>
              <w:spacing w:line="312" w:lineRule="auto"/>
              <w:jc w:val="center"/>
              <w:rPr>
                <w:rFonts w:eastAsia="Calibri"/>
                <w:b/>
                <w:bCs/>
                <w:sz w:val="24"/>
                <w:szCs w:val="24"/>
              </w:rPr>
            </w:pPr>
            <w:r>
              <w:rPr>
                <w:rFonts w:eastAsia="Calibri"/>
                <w:b/>
                <w:bCs/>
                <w:sz w:val="24"/>
                <w:szCs w:val="24"/>
              </w:rPr>
              <w:t>Tỉ lệ giới tính tham gia khảo sát</w:t>
            </w:r>
          </w:p>
        </w:tc>
        <w:tc>
          <w:tcPr>
            <w:tcW w:w="857" w:type="pct"/>
            <w:shd w:val="clear" w:color="auto" w:fill="auto"/>
            <w:vAlign w:val="center"/>
          </w:tcPr>
          <w:p w14:paraId="791A44C4" w14:textId="77777777" w:rsidR="00332399" w:rsidRDefault="00000000" w:rsidP="00B21062">
            <w:pPr>
              <w:spacing w:line="312" w:lineRule="auto"/>
              <w:jc w:val="center"/>
              <w:rPr>
                <w:rFonts w:eastAsia="Calibri"/>
                <w:b/>
                <w:bCs/>
                <w:sz w:val="24"/>
                <w:szCs w:val="24"/>
              </w:rPr>
            </w:pPr>
            <w:r>
              <w:rPr>
                <w:rFonts w:eastAsia="Calibri"/>
                <w:b/>
                <w:bCs/>
                <w:sz w:val="24"/>
                <w:szCs w:val="24"/>
              </w:rPr>
              <w:t>Tỷ lệ (%)</w:t>
            </w:r>
          </w:p>
        </w:tc>
      </w:tr>
      <w:tr w:rsidR="00332399" w14:paraId="54576734" w14:textId="77777777">
        <w:tc>
          <w:tcPr>
            <w:tcW w:w="4143" w:type="pct"/>
            <w:shd w:val="clear" w:color="auto" w:fill="auto"/>
            <w:vAlign w:val="center"/>
          </w:tcPr>
          <w:p w14:paraId="75ED76E0" w14:textId="77777777" w:rsidR="00332399" w:rsidRDefault="00000000" w:rsidP="00B21062">
            <w:pPr>
              <w:spacing w:line="312" w:lineRule="auto"/>
              <w:jc w:val="center"/>
              <w:rPr>
                <w:rFonts w:eastAsia="Calibri"/>
                <w:sz w:val="24"/>
                <w:szCs w:val="24"/>
              </w:rPr>
            </w:pPr>
            <w:r>
              <w:rPr>
                <w:rFonts w:eastAsia="Calibri"/>
                <w:sz w:val="24"/>
                <w:szCs w:val="24"/>
              </w:rPr>
              <w:t>Nam</w:t>
            </w:r>
          </w:p>
        </w:tc>
        <w:tc>
          <w:tcPr>
            <w:tcW w:w="857" w:type="pct"/>
            <w:shd w:val="clear" w:color="auto" w:fill="auto"/>
            <w:vAlign w:val="center"/>
          </w:tcPr>
          <w:p w14:paraId="31F66397" w14:textId="77777777" w:rsidR="00332399" w:rsidRDefault="00000000" w:rsidP="00B21062">
            <w:pPr>
              <w:spacing w:line="312" w:lineRule="auto"/>
              <w:jc w:val="center"/>
              <w:rPr>
                <w:rFonts w:eastAsia="Calibri"/>
                <w:sz w:val="24"/>
                <w:szCs w:val="24"/>
              </w:rPr>
            </w:pPr>
            <w:r>
              <w:rPr>
                <w:rFonts w:eastAsia="Calibri"/>
                <w:sz w:val="24"/>
                <w:szCs w:val="24"/>
              </w:rPr>
              <w:t>60</w:t>
            </w:r>
          </w:p>
        </w:tc>
      </w:tr>
      <w:tr w:rsidR="00332399" w14:paraId="0CAFA7B1" w14:textId="77777777">
        <w:tc>
          <w:tcPr>
            <w:tcW w:w="4143" w:type="pct"/>
            <w:shd w:val="clear" w:color="auto" w:fill="auto"/>
            <w:vAlign w:val="center"/>
          </w:tcPr>
          <w:p w14:paraId="381F1D71" w14:textId="77777777" w:rsidR="00332399" w:rsidRDefault="00000000" w:rsidP="00B21062">
            <w:pPr>
              <w:spacing w:line="312" w:lineRule="auto"/>
              <w:jc w:val="center"/>
              <w:rPr>
                <w:rFonts w:eastAsia="Calibri"/>
                <w:sz w:val="24"/>
                <w:szCs w:val="24"/>
              </w:rPr>
            </w:pPr>
            <w:r>
              <w:rPr>
                <w:rFonts w:eastAsia="Calibri"/>
                <w:sz w:val="24"/>
                <w:szCs w:val="24"/>
              </w:rPr>
              <w:t>Nữ</w:t>
            </w:r>
          </w:p>
        </w:tc>
        <w:tc>
          <w:tcPr>
            <w:tcW w:w="857" w:type="pct"/>
            <w:shd w:val="clear" w:color="auto" w:fill="auto"/>
            <w:vAlign w:val="center"/>
          </w:tcPr>
          <w:p w14:paraId="1CB952F1" w14:textId="77777777" w:rsidR="00332399" w:rsidRDefault="00000000" w:rsidP="00B21062">
            <w:pPr>
              <w:spacing w:line="312" w:lineRule="auto"/>
              <w:jc w:val="center"/>
              <w:rPr>
                <w:rFonts w:eastAsia="Calibri"/>
                <w:sz w:val="24"/>
                <w:szCs w:val="24"/>
              </w:rPr>
            </w:pPr>
            <w:r>
              <w:rPr>
                <w:rFonts w:eastAsia="Calibri"/>
                <w:sz w:val="24"/>
                <w:szCs w:val="24"/>
              </w:rPr>
              <w:t>40</w:t>
            </w:r>
          </w:p>
        </w:tc>
      </w:tr>
      <w:tr w:rsidR="00332399" w14:paraId="0EDEAD02" w14:textId="77777777">
        <w:tc>
          <w:tcPr>
            <w:tcW w:w="4143" w:type="pct"/>
            <w:shd w:val="clear" w:color="auto" w:fill="auto"/>
            <w:vAlign w:val="center"/>
          </w:tcPr>
          <w:p w14:paraId="49C0F75C" w14:textId="77777777" w:rsidR="00332399" w:rsidRDefault="00000000" w:rsidP="00B21062">
            <w:pPr>
              <w:spacing w:line="312" w:lineRule="auto"/>
              <w:jc w:val="center"/>
              <w:rPr>
                <w:rFonts w:eastAsia="Calibri"/>
                <w:b/>
                <w:bCs/>
                <w:sz w:val="24"/>
                <w:szCs w:val="24"/>
              </w:rPr>
            </w:pPr>
            <w:r>
              <w:rPr>
                <w:rFonts w:eastAsia="Calibri"/>
                <w:b/>
                <w:bCs/>
                <w:sz w:val="24"/>
                <w:szCs w:val="24"/>
              </w:rPr>
              <w:t>Cơ cấu độ tuổi tham gia khảo sát</w:t>
            </w:r>
          </w:p>
        </w:tc>
        <w:tc>
          <w:tcPr>
            <w:tcW w:w="857" w:type="pct"/>
            <w:shd w:val="clear" w:color="auto" w:fill="auto"/>
            <w:vAlign w:val="center"/>
          </w:tcPr>
          <w:p w14:paraId="0ADE57E5" w14:textId="77777777" w:rsidR="00332399" w:rsidRDefault="00000000" w:rsidP="00B21062">
            <w:pPr>
              <w:spacing w:line="312" w:lineRule="auto"/>
              <w:jc w:val="center"/>
              <w:rPr>
                <w:rFonts w:eastAsia="Calibri"/>
                <w:b/>
                <w:bCs/>
                <w:sz w:val="24"/>
                <w:szCs w:val="24"/>
              </w:rPr>
            </w:pPr>
            <w:r>
              <w:rPr>
                <w:rFonts w:eastAsia="Calibri"/>
                <w:b/>
                <w:bCs/>
                <w:sz w:val="24"/>
                <w:szCs w:val="24"/>
              </w:rPr>
              <w:t>Tỷ lệ (%)</w:t>
            </w:r>
          </w:p>
        </w:tc>
      </w:tr>
      <w:tr w:rsidR="00332399" w14:paraId="7644B608" w14:textId="77777777">
        <w:tc>
          <w:tcPr>
            <w:tcW w:w="4143" w:type="pct"/>
            <w:shd w:val="clear" w:color="auto" w:fill="auto"/>
            <w:vAlign w:val="center"/>
          </w:tcPr>
          <w:p w14:paraId="0F9FDDC7" w14:textId="77777777" w:rsidR="00332399" w:rsidRDefault="00000000" w:rsidP="00B21062">
            <w:pPr>
              <w:spacing w:line="312" w:lineRule="auto"/>
              <w:jc w:val="center"/>
              <w:rPr>
                <w:rFonts w:eastAsia="Calibri"/>
                <w:sz w:val="24"/>
                <w:szCs w:val="24"/>
              </w:rPr>
            </w:pPr>
            <w:r>
              <w:rPr>
                <w:rFonts w:eastAsia="Calibri"/>
                <w:sz w:val="24"/>
                <w:szCs w:val="24"/>
              </w:rPr>
              <w:t>Dưới 21 tuổi</w:t>
            </w:r>
          </w:p>
        </w:tc>
        <w:tc>
          <w:tcPr>
            <w:tcW w:w="857" w:type="pct"/>
            <w:shd w:val="clear" w:color="auto" w:fill="auto"/>
            <w:vAlign w:val="center"/>
          </w:tcPr>
          <w:p w14:paraId="030BC9AD" w14:textId="77777777" w:rsidR="00332399" w:rsidRDefault="00000000" w:rsidP="00B21062">
            <w:pPr>
              <w:spacing w:line="312" w:lineRule="auto"/>
              <w:jc w:val="center"/>
              <w:rPr>
                <w:rFonts w:eastAsia="Calibri"/>
                <w:sz w:val="24"/>
                <w:szCs w:val="24"/>
              </w:rPr>
            </w:pPr>
            <w:r>
              <w:rPr>
                <w:rFonts w:eastAsia="Calibri"/>
                <w:sz w:val="24"/>
                <w:szCs w:val="24"/>
              </w:rPr>
              <w:t>1.5</w:t>
            </w:r>
          </w:p>
        </w:tc>
      </w:tr>
      <w:tr w:rsidR="00332399" w14:paraId="5102A3BC" w14:textId="77777777">
        <w:tc>
          <w:tcPr>
            <w:tcW w:w="4143" w:type="pct"/>
            <w:shd w:val="clear" w:color="auto" w:fill="auto"/>
            <w:vAlign w:val="center"/>
          </w:tcPr>
          <w:p w14:paraId="450835FD" w14:textId="77777777" w:rsidR="00332399" w:rsidRDefault="00000000" w:rsidP="00B21062">
            <w:pPr>
              <w:spacing w:line="312" w:lineRule="auto"/>
              <w:jc w:val="center"/>
              <w:rPr>
                <w:rFonts w:eastAsia="Calibri"/>
                <w:sz w:val="24"/>
                <w:szCs w:val="24"/>
              </w:rPr>
            </w:pPr>
            <w:r>
              <w:rPr>
                <w:rFonts w:eastAsia="Calibri"/>
                <w:sz w:val="24"/>
                <w:szCs w:val="24"/>
              </w:rPr>
              <w:t>Từ 21-30</w:t>
            </w:r>
          </w:p>
        </w:tc>
        <w:tc>
          <w:tcPr>
            <w:tcW w:w="857" w:type="pct"/>
            <w:shd w:val="clear" w:color="auto" w:fill="auto"/>
            <w:vAlign w:val="center"/>
          </w:tcPr>
          <w:p w14:paraId="670BF6A9" w14:textId="77777777" w:rsidR="00332399" w:rsidRDefault="00000000" w:rsidP="00B21062">
            <w:pPr>
              <w:spacing w:line="312" w:lineRule="auto"/>
              <w:jc w:val="center"/>
              <w:rPr>
                <w:rFonts w:eastAsia="Calibri"/>
                <w:sz w:val="24"/>
                <w:szCs w:val="24"/>
              </w:rPr>
            </w:pPr>
            <w:r>
              <w:rPr>
                <w:rFonts w:eastAsia="Calibri"/>
                <w:sz w:val="24"/>
                <w:szCs w:val="24"/>
              </w:rPr>
              <w:t>20.5</w:t>
            </w:r>
          </w:p>
        </w:tc>
      </w:tr>
      <w:tr w:rsidR="00332399" w14:paraId="30EF4614" w14:textId="77777777">
        <w:tc>
          <w:tcPr>
            <w:tcW w:w="4143" w:type="pct"/>
            <w:shd w:val="clear" w:color="auto" w:fill="auto"/>
            <w:vAlign w:val="center"/>
          </w:tcPr>
          <w:p w14:paraId="6D50442D" w14:textId="77777777" w:rsidR="00332399" w:rsidRDefault="00000000" w:rsidP="00B21062">
            <w:pPr>
              <w:spacing w:line="312" w:lineRule="auto"/>
              <w:jc w:val="center"/>
              <w:rPr>
                <w:rFonts w:eastAsia="Calibri"/>
                <w:sz w:val="24"/>
                <w:szCs w:val="24"/>
              </w:rPr>
            </w:pPr>
            <w:r>
              <w:rPr>
                <w:rFonts w:eastAsia="Calibri"/>
                <w:sz w:val="24"/>
                <w:szCs w:val="24"/>
              </w:rPr>
              <w:t>Từ 31-40</w:t>
            </w:r>
          </w:p>
        </w:tc>
        <w:tc>
          <w:tcPr>
            <w:tcW w:w="857" w:type="pct"/>
            <w:shd w:val="clear" w:color="auto" w:fill="auto"/>
            <w:vAlign w:val="center"/>
          </w:tcPr>
          <w:p w14:paraId="3B546D3B" w14:textId="77777777" w:rsidR="00332399" w:rsidRDefault="00000000" w:rsidP="00B21062">
            <w:pPr>
              <w:spacing w:line="312" w:lineRule="auto"/>
              <w:jc w:val="center"/>
              <w:rPr>
                <w:rFonts w:eastAsia="Calibri"/>
                <w:sz w:val="24"/>
                <w:szCs w:val="24"/>
              </w:rPr>
            </w:pPr>
            <w:r>
              <w:rPr>
                <w:rFonts w:eastAsia="Calibri"/>
                <w:sz w:val="24"/>
                <w:szCs w:val="24"/>
              </w:rPr>
              <w:t>40.5</w:t>
            </w:r>
          </w:p>
        </w:tc>
      </w:tr>
      <w:tr w:rsidR="00332399" w14:paraId="03E0D39E" w14:textId="77777777">
        <w:tc>
          <w:tcPr>
            <w:tcW w:w="4143" w:type="pct"/>
            <w:shd w:val="clear" w:color="auto" w:fill="auto"/>
            <w:vAlign w:val="center"/>
          </w:tcPr>
          <w:p w14:paraId="66603857" w14:textId="77777777" w:rsidR="00332399" w:rsidRDefault="00000000" w:rsidP="00B21062">
            <w:pPr>
              <w:spacing w:line="312" w:lineRule="auto"/>
              <w:jc w:val="center"/>
              <w:rPr>
                <w:rFonts w:eastAsia="Calibri"/>
                <w:sz w:val="24"/>
                <w:szCs w:val="24"/>
              </w:rPr>
            </w:pPr>
            <w:r>
              <w:rPr>
                <w:rFonts w:eastAsia="Calibri"/>
                <w:sz w:val="24"/>
                <w:szCs w:val="24"/>
              </w:rPr>
              <w:t>Từ 41-50</w:t>
            </w:r>
          </w:p>
        </w:tc>
        <w:tc>
          <w:tcPr>
            <w:tcW w:w="857" w:type="pct"/>
            <w:shd w:val="clear" w:color="auto" w:fill="auto"/>
            <w:vAlign w:val="center"/>
          </w:tcPr>
          <w:p w14:paraId="145E61F6" w14:textId="77777777" w:rsidR="00332399" w:rsidRDefault="00000000" w:rsidP="00B21062">
            <w:pPr>
              <w:spacing w:line="312" w:lineRule="auto"/>
              <w:jc w:val="center"/>
              <w:rPr>
                <w:rFonts w:eastAsia="Calibri"/>
                <w:sz w:val="24"/>
                <w:szCs w:val="24"/>
              </w:rPr>
            </w:pPr>
            <w:r>
              <w:rPr>
                <w:rFonts w:eastAsia="Calibri"/>
                <w:sz w:val="24"/>
                <w:szCs w:val="24"/>
              </w:rPr>
              <w:t>33</w:t>
            </w:r>
          </w:p>
        </w:tc>
      </w:tr>
      <w:tr w:rsidR="00332399" w14:paraId="515E206E" w14:textId="77777777">
        <w:tc>
          <w:tcPr>
            <w:tcW w:w="4143" w:type="pct"/>
            <w:shd w:val="clear" w:color="auto" w:fill="auto"/>
            <w:vAlign w:val="center"/>
          </w:tcPr>
          <w:p w14:paraId="6322FF2E" w14:textId="77777777" w:rsidR="00332399" w:rsidRDefault="00000000" w:rsidP="00B21062">
            <w:pPr>
              <w:spacing w:line="312" w:lineRule="auto"/>
              <w:jc w:val="center"/>
              <w:rPr>
                <w:rFonts w:eastAsia="Calibri"/>
                <w:sz w:val="24"/>
                <w:szCs w:val="24"/>
              </w:rPr>
            </w:pPr>
            <w:r>
              <w:rPr>
                <w:rFonts w:eastAsia="Calibri"/>
                <w:sz w:val="24"/>
                <w:szCs w:val="24"/>
              </w:rPr>
              <w:t>Từ 50 trở lên</w:t>
            </w:r>
          </w:p>
        </w:tc>
        <w:tc>
          <w:tcPr>
            <w:tcW w:w="857" w:type="pct"/>
            <w:shd w:val="clear" w:color="auto" w:fill="auto"/>
            <w:vAlign w:val="center"/>
          </w:tcPr>
          <w:p w14:paraId="50A47D0C" w14:textId="77777777" w:rsidR="00332399" w:rsidRDefault="00000000" w:rsidP="00B21062">
            <w:pPr>
              <w:spacing w:line="312" w:lineRule="auto"/>
              <w:jc w:val="center"/>
              <w:rPr>
                <w:rFonts w:eastAsia="Calibri"/>
                <w:sz w:val="24"/>
                <w:szCs w:val="24"/>
              </w:rPr>
            </w:pPr>
            <w:r>
              <w:rPr>
                <w:rFonts w:eastAsia="Calibri"/>
                <w:sz w:val="24"/>
                <w:szCs w:val="24"/>
              </w:rPr>
              <w:t>4.5</w:t>
            </w:r>
          </w:p>
        </w:tc>
      </w:tr>
      <w:tr w:rsidR="00332399" w14:paraId="4A7C6E3B" w14:textId="77777777">
        <w:tc>
          <w:tcPr>
            <w:tcW w:w="4143" w:type="pct"/>
            <w:shd w:val="clear" w:color="auto" w:fill="auto"/>
            <w:vAlign w:val="center"/>
          </w:tcPr>
          <w:p w14:paraId="230F0B75" w14:textId="77777777" w:rsidR="00332399" w:rsidRDefault="00000000" w:rsidP="00B21062">
            <w:pPr>
              <w:spacing w:line="312" w:lineRule="auto"/>
              <w:jc w:val="center"/>
              <w:rPr>
                <w:rFonts w:eastAsia="Calibri"/>
                <w:b/>
                <w:bCs/>
                <w:sz w:val="24"/>
                <w:szCs w:val="24"/>
              </w:rPr>
            </w:pPr>
            <w:r>
              <w:rPr>
                <w:rFonts w:eastAsia="Calibri"/>
                <w:b/>
                <w:bCs/>
                <w:sz w:val="24"/>
                <w:szCs w:val="24"/>
              </w:rPr>
              <w:t>Tình trạng việc làm</w:t>
            </w:r>
          </w:p>
        </w:tc>
        <w:tc>
          <w:tcPr>
            <w:tcW w:w="857" w:type="pct"/>
            <w:shd w:val="clear" w:color="auto" w:fill="auto"/>
            <w:vAlign w:val="center"/>
          </w:tcPr>
          <w:p w14:paraId="133745C6" w14:textId="77777777" w:rsidR="00332399" w:rsidRDefault="00000000" w:rsidP="00B21062">
            <w:pPr>
              <w:spacing w:line="312" w:lineRule="auto"/>
              <w:jc w:val="center"/>
              <w:rPr>
                <w:rFonts w:eastAsia="Calibri"/>
                <w:b/>
                <w:bCs/>
                <w:sz w:val="24"/>
                <w:szCs w:val="24"/>
              </w:rPr>
            </w:pPr>
            <w:r>
              <w:rPr>
                <w:rFonts w:eastAsia="Calibri"/>
                <w:b/>
                <w:bCs/>
                <w:sz w:val="24"/>
                <w:szCs w:val="24"/>
              </w:rPr>
              <w:t>Tỷ lệ (%)</w:t>
            </w:r>
          </w:p>
        </w:tc>
      </w:tr>
      <w:tr w:rsidR="00332399" w14:paraId="287F97C1" w14:textId="77777777">
        <w:tc>
          <w:tcPr>
            <w:tcW w:w="4143" w:type="pct"/>
            <w:shd w:val="clear" w:color="auto" w:fill="auto"/>
            <w:vAlign w:val="center"/>
          </w:tcPr>
          <w:p w14:paraId="229DBB35" w14:textId="77777777" w:rsidR="00332399" w:rsidRDefault="00000000" w:rsidP="00B21062">
            <w:pPr>
              <w:spacing w:line="312" w:lineRule="auto"/>
              <w:jc w:val="center"/>
              <w:rPr>
                <w:rFonts w:eastAsia="Calibri"/>
                <w:sz w:val="24"/>
                <w:szCs w:val="24"/>
              </w:rPr>
            </w:pPr>
            <w:r>
              <w:rPr>
                <w:rFonts w:eastAsia="Calibri"/>
                <w:sz w:val="24"/>
                <w:szCs w:val="24"/>
              </w:rPr>
              <w:t>Đang làm việc tại các cơ quan, công ty</w:t>
            </w:r>
          </w:p>
        </w:tc>
        <w:tc>
          <w:tcPr>
            <w:tcW w:w="857" w:type="pct"/>
            <w:shd w:val="clear" w:color="auto" w:fill="auto"/>
            <w:vAlign w:val="center"/>
          </w:tcPr>
          <w:p w14:paraId="182397B4" w14:textId="77777777" w:rsidR="00332399" w:rsidRDefault="00000000" w:rsidP="00B21062">
            <w:pPr>
              <w:spacing w:line="312" w:lineRule="auto"/>
              <w:jc w:val="center"/>
              <w:rPr>
                <w:rFonts w:eastAsia="Calibri"/>
                <w:sz w:val="24"/>
                <w:szCs w:val="24"/>
              </w:rPr>
            </w:pPr>
            <w:r>
              <w:rPr>
                <w:rFonts w:eastAsia="Calibri"/>
                <w:sz w:val="24"/>
                <w:szCs w:val="24"/>
              </w:rPr>
              <w:t>62</w:t>
            </w:r>
          </w:p>
        </w:tc>
      </w:tr>
      <w:tr w:rsidR="00332399" w14:paraId="61FCBDEC" w14:textId="77777777">
        <w:tc>
          <w:tcPr>
            <w:tcW w:w="4143" w:type="pct"/>
            <w:shd w:val="clear" w:color="auto" w:fill="auto"/>
            <w:vAlign w:val="center"/>
          </w:tcPr>
          <w:p w14:paraId="41ED85E7" w14:textId="77777777" w:rsidR="00332399" w:rsidRDefault="00000000" w:rsidP="00B21062">
            <w:pPr>
              <w:spacing w:line="312" w:lineRule="auto"/>
              <w:jc w:val="center"/>
              <w:rPr>
                <w:rFonts w:eastAsia="Calibri"/>
                <w:sz w:val="24"/>
                <w:szCs w:val="24"/>
              </w:rPr>
            </w:pPr>
            <w:r>
              <w:rPr>
                <w:rFonts w:eastAsia="Calibri"/>
                <w:sz w:val="24"/>
                <w:szCs w:val="24"/>
              </w:rPr>
              <w:t>Sinh viên</w:t>
            </w:r>
          </w:p>
        </w:tc>
        <w:tc>
          <w:tcPr>
            <w:tcW w:w="857" w:type="pct"/>
            <w:shd w:val="clear" w:color="auto" w:fill="auto"/>
            <w:vAlign w:val="center"/>
          </w:tcPr>
          <w:p w14:paraId="5036D100" w14:textId="77777777" w:rsidR="00332399" w:rsidRDefault="00000000" w:rsidP="00B21062">
            <w:pPr>
              <w:spacing w:line="312" w:lineRule="auto"/>
              <w:jc w:val="center"/>
              <w:rPr>
                <w:rFonts w:eastAsia="Calibri"/>
                <w:sz w:val="24"/>
                <w:szCs w:val="24"/>
              </w:rPr>
            </w:pPr>
            <w:r>
              <w:rPr>
                <w:rFonts w:eastAsia="Calibri"/>
                <w:sz w:val="24"/>
                <w:szCs w:val="24"/>
              </w:rPr>
              <w:t>2</w:t>
            </w:r>
          </w:p>
        </w:tc>
      </w:tr>
      <w:tr w:rsidR="00332399" w14:paraId="2A30CDAC" w14:textId="77777777">
        <w:tc>
          <w:tcPr>
            <w:tcW w:w="4143" w:type="pct"/>
            <w:shd w:val="clear" w:color="auto" w:fill="auto"/>
            <w:vAlign w:val="center"/>
          </w:tcPr>
          <w:p w14:paraId="380EE72B" w14:textId="77777777" w:rsidR="00332399" w:rsidRDefault="00000000" w:rsidP="00B21062">
            <w:pPr>
              <w:spacing w:line="312" w:lineRule="auto"/>
              <w:jc w:val="center"/>
              <w:rPr>
                <w:rFonts w:eastAsia="Calibri"/>
                <w:sz w:val="24"/>
                <w:szCs w:val="24"/>
              </w:rPr>
            </w:pPr>
            <w:r>
              <w:rPr>
                <w:rFonts w:eastAsia="Calibri"/>
                <w:sz w:val="24"/>
                <w:szCs w:val="24"/>
              </w:rPr>
              <w:t>Tự tạo việc làm</w:t>
            </w:r>
          </w:p>
        </w:tc>
        <w:tc>
          <w:tcPr>
            <w:tcW w:w="857" w:type="pct"/>
            <w:shd w:val="clear" w:color="auto" w:fill="auto"/>
            <w:vAlign w:val="center"/>
          </w:tcPr>
          <w:p w14:paraId="2EC72DB2" w14:textId="77777777" w:rsidR="00332399" w:rsidRDefault="00000000" w:rsidP="00B21062">
            <w:pPr>
              <w:spacing w:line="312" w:lineRule="auto"/>
              <w:jc w:val="center"/>
              <w:rPr>
                <w:rFonts w:eastAsia="Calibri"/>
                <w:sz w:val="24"/>
                <w:szCs w:val="24"/>
              </w:rPr>
            </w:pPr>
            <w:r>
              <w:rPr>
                <w:rFonts w:eastAsia="Calibri"/>
                <w:sz w:val="24"/>
                <w:szCs w:val="24"/>
              </w:rPr>
              <w:t>26</w:t>
            </w:r>
          </w:p>
        </w:tc>
      </w:tr>
      <w:tr w:rsidR="00332399" w14:paraId="0A1ED0DD" w14:textId="77777777">
        <w:tc>
          <w:tcPr>
            <w:tcW w:w="4143" w:type="pct"/>
            <w:shd w:val="clear" w:color="auto" w:fill="auto"/>
            <w:vAlign w:val="center"/>
          </w:tcPr>
          <w:p w14:paraId="2D4F0851" w14:textId="77777777" w:rsidR="00332399" w:rsidRDefault="00000000" w:rsidP="00B21062">
            <w:pPr>
              <w:spacing w:line="312" w:lineRule="auto"/>
              <w:jc w:val="center"/>
              <w:rPr>
                <w:rFonts w:eastAsia="Calibri"/>
                <w:sz w:val="24"/>
                <w:szCs w:val="24"/>
              </w:rPr>
            </w:pPr>
            <w:r>
              <w:rPr>
                <w:rFonts w:eastAsia="Calibri"/>
                <w:sz w:val="24"/>
                <w:szCs w:val="24"/>
              </w:rPr>
              <w:t>Đã nghỉ hưu</w:t>
            </w:r>
          </w:p>
        </w:tc>
        <w:tc>
          <w:tcPr>
            <w:tcW w:w="857" w:type="pct"/>
            <w:shd w:val="clear" w:color="auto" w:fill="auto"/>
            <w:vAlign w:val="center"/>
          </w:tcPr>
          <w:p w14:paraId="4BFED42E" w14:textId="77777777" w:rsidR="00332399" w:rsidRDefault="00000000" w:rsidP="00B21062">
            <w:pPr>
              <w:spacing w:line="312" w:lineRule="auto"/>
              <w:jc w:val="center"/>
              <w:rPr>
                <w:rFonts w:eastAsia="Calibri"/>
                <w:sz w:val="24"/>
                <w:szCs w:val="24"/>
              </w:rPr>
            </w:pPr>
            <w:r>
              <w:rPr>
                <w:rFonts w:eastAsia="Calibri"/>
                <w:sz w:val="24"/>
                <w:szCs w:val="24"/>
              </w:rPr>
              <w:t>10</w:t>
            </w:r>
          </w:p>
        </w:tc>
      </w:tr>
      <w:tr w:rsidR="00332399" w14:paraId="7CEC0714" w14:textId="77777777">
        <w:tc>
          <w:tcPr>
            <w:tcW w:w="4143" w:type="pct"/>
            <w:shd w:val="clear" w:color="auto" w:fill="auto"/>
            <w:vAlign w:val="center"/>
          </w:tcPr>
          <w:p w14:paraId="5B3F7431" w14:textId="77777777" w:rsidR="00332399" w:rsidRDefault="00000000" w:rsidP="00B21062">
            <w:pPr>
              <w:spacing w:line="312" w:lineRule="auto"/>
              <w:jc w:val="center"/>
              <w:rPr>
                <w:rFonts w:eastAsia="Calibri"/>
                <w:b/>
                <w:bCs/>
                <w:sz w:val="24"/>
                <w:szCs w:val="24"/>
              </w:rPr>
            </w:pPr>
            <w:r>
              <w:rPr>
                <w:rFonts w:eastAsia="Calibri"/>
                <w:b/>
                <w:bCs/>
                <w:sz w:val="24"/>
                <w:szCs w:val="24"/>
              </w:rPr>
              <w:t>Kinh nghiệm đầu tư</w:t>
            </w:r>
          </w:p>
        </w:tc>
        <w:tc>
          <w:tcPr>
            <w:tcW w:w="857" w:type="pct"/>
            <w:shd w:val="clear" w:color="auto" w:fill="auto"/>
            <w:vAlign w:val="center"/>
          </w:tcPr>
          <w:p w14:paraId="2C5967B3" w14:textId="77777777" w:rsidR="00332399" w:rsidRDefault="00000000" w:rsidP="00B21062">
            <w:pPr>
              <w:spacing w:line="312" w:lineRule="auto"/>
              <w:jc w:val="center"/>
              <w:rPr>
                <w:rFonts w:eastAsia="Calibri"/>
                <w:b/>
                <w:bCs/>
                <w:sz w:val="24"/>
                <w:szCs w:val="24"/>
              </w:rPr>
            </w:pPr>
            <w:r>
              <w:rPr>
                <w:rFonts w:eastAsia="Calibri"/>
                <w:b/>
                <w:bCs/>
                <w:sz w:val="24"/>
                <w:szCs w:val="24"/>
              </w:rPr>
              <w:t>Tỷ lệ (%)</w:t>
            </w:r>
          </w:p>
        </w:tc>
      </w:tr>
      <w:tr w:rsidR="00332399" w14:paraId="6AA8B541" w14:textId="77777777">
        <w:tc>
          <w:tcPr>
            <w:tcW w:w="4143" w:type="pct"/>
            <w:shd w:val="clear" w:color="auto" w:fill="auto"/>
            <w:vAlign w:val="center"/>
          </w:tcPr>
          <w:p w14:paraId="05D88E4B" w14:textId="77777777" w:rsidR="00332399" w:rsidRDefault="00000000" w:rsidP="00B21062">
            <w:pPr>
              <w:spacing w:line="312" w:lineRule="auto"/>
              <w:jc w:val="center"/>
              <w:rPr>
                <w:rFonts w:eastAsia="Calibri"/>
                <w:sz w:val="24"/>
                <w:szCs w:val="24"/>
              </w:rPr>
            </w:pPr>
            <w:r>
              <w:rPr>
                <w:rFonts w:eastAsia="Calibri"/>
                <w:sz w:val="24"/>
                <w:szCs w:val="24"/>
              </w:rPr>
              <w:t>Dưới 3 năm</w:t>
            </w:r>
          </w:p>
        </w:tc>
        <w:tc>
          <w:tcPr>
            <w:tcW w:w="857" w:type="pct"/>
            <w:shd w:val="clear" w:color="auto" w:fill="auto"/>
            <w:vAlign w:val="center"/>
          </w:tcPr>
          <w:p w14:paraId="5FD788D1" w14:textId="77777777" w:rsidR="00332399" w:rsidRDefault="00000000" w:rsidP="00B21062">
            <w:pPr>
              <w:spacing w:line="312" w:lineRule="auto"/>
              <w:jc w:val="center"/>
              <w:rPr>
                <w:rFonts w:eastAsia="Calibri"/>
                <w:sz w:val="24"/>
                <w:szCs w:val="24"/>
              </w:rPr>
            </w:pPr>
            <w:r>
              <w:rPr>
                <w:rFonts w:eastAsia="Calibri"/>
                <w:sz w:val="24"/>
                <w:szCs w:val="24"/>
              </w:rPr>
              <w:t>6.5</w:t>
            </w:r>
          </w:p>
        </w:tc>
      </w:tr>
      <w:tr w:rsidR="00332399" w14:paraId="5BB54910" w14:textId="77777777">
        <w:tc>
          <w:tcPr>
            <w:tcW w:w="4143" w:type="pct"/>
            <w:shd w:val="clear" w:color="auto" w:fill="auto"/>
            <w:vAlign w:val="center"/>
          </w:tcPr>
          <w:p w14:paraId="653E7E10" w14:textId="77777777" w:rsidR="00332399" w:rsidRDefault="00000000" w:rsidP="00B21062">
            <w:pPr>
              <w:spacing w:line="312" w:lineRule="auto"/>
              <w:jc w:val="center"/>
              <w:rPr>
                <w:rFonts w:eastAsia="Calibri"/>
                <w:sz w:val="24"/>
                <w:szCs w:val="24"/>
              </w:rPr>
            </w:pPr>
            <w:r>
              <w:rPr>
                <w:rFonts w:eastAsia="Calibri"/>
                <w:sz w:val="24"/>
                <w:szCs w:val="24"/>
              </w:rPr>
              <w:t>Từ 3-5 năm</w:t>
            </w:r>
          </w:p>
        </w:tc>
        <w:tc>
          <w:tcPr>
            <w:tcW w:w="857" w:type="pct"/>
            <w:shd w:val="clear" w:color="auto" w:fill="auto"/>
            <w:vAlign w:val="center"/>
          </w:tcPr>
          <w:p w14:paraId="29772AE5" w14:textId="77777777" w:rsidR="00332399" w:rsidRDefault="00000000" w:rsidP="00B21062">
            <w:pPr>
              <w:spacing w:line="312" w:lineRule="auto"/>
              <w:jc w:val="center"/>
              <w:rPr>
                <w:rFonts w:eastAsia="Calibri"/>
                <w:sz w:val="24"/>
                <w:szCs w:val="24"/>
              </w:rPr>
            </w:pPr>
            <w:r>
              <w:rPr>
                <w:rFonts w:eastAsia="Calibri"/>
                <w:sz w:val="24"/>
                <w:szCs w:val="24"/>
              </w:rPr>
              <w:t>25.5</w:t>
            </w:r>
          </w:p>
        </w:tc>
      </w:tr>
      <w:tr w:rsidR="00332399" w14:paraId="6C683B6D" w14:textId="77777777">
        <w:tc>
          <w:tcPr>
            <w:tcW w:w="4143" w:type="pct"/>
            <w:shd w:val="clear" w:color="auto" w:fill="auto"/>
            <w:vAlign w:val="center"/>
          </w:tcPr>
          <w:p w14:paraId="54C0DBA7" w14:textId="77777777" w:rsidR="00332399" w:rsidRDefault="00000000" w:rsidP="00B21062">
            <w:pPr>
              <w:spacing w:line="312" w:lineRule="auto"/>
              <w:jc w:val="center"/>
              <w:rPr>
                <w:rFonts w:eastAsia="Calibri"/>
                <w:sz w:val="24"/>
                <w:szCs w:val="24"/>
              </w:rPr>
            </w:pPr>
            <w:r>
              <w:rPr>
                <w:rFonts w:eastAsia="Calibri"/>
                <w:sz w:val="24"/>
                <w:szCs w:val="24"/>
              </w:rPr>
              <w:t>Từ 6-8 năm</w:t>
            </w:r>
          </w:p>
        </w:tc>
        <w:tc>
          <w:tcPr>
            <w:tcW w:w="857" w:type="pct"/>
            <w:shd w:val="clear" w:color="auto" w:fill="auto"/>
            <w:vAlign w:val="center"/>
          </w:tcPr>
          <w:p w14:paraId="05B784A4" w14:textId="77777777" w:rsidR="00332399" w:rsidRDefault="00000000" w:rsidP="00B21062">
            <w:pPr>
              <w:spacing w:line="312" w:lineRule="auto"/>
              <w:jc w:val="center"/>
              <w:rPr>
                <w:rFonts w:eastAsia="Calibri"/>
                <w:sz w:val="24"/>
                <w:szCs w:val="24"/>
              </w:rPr>
            </w:pPr>
            <w:r>
              <w:rPr>
                <w:rFonts w:eastAsia="Calibri"/>
                <w:sz w:val="24"/>
                <w:szCs w:val="24"/>
              </w:rPr>
              <w:t>46</w:t>
            </w:r>
          </w:p>
        </w:tc>
      </w:tr>
      <w:tr w:rsidR="00332399" w14:paraId="4763C3D5" w14:textId="77777777">
        <w:tc>
          <w:tcPr>
            <w:tcW w:w="4143" w:type="pct"/>
            <w:shd w:val="clear" w:color="auto" w:fill="auto"/>
            <w:vAlign w:val="center"/>
          </w:tcPr>
          <w:p w14:paraId="75BCB91C" w14:textId="77777777" w:rsidR="00332399" w:rsidRDefault="00000000" w:rsidP="00B21062">
            <w:pPr>
              <w:spacing w:line="312" w:lineRule="auto"/>
              <w:jc w:val="center"/>
              <w:rPr>
                <w:rFonts w:eastAsia="Calibri"/>
                <w:sz w:val="24"/>
                <w:szCs w:val="24"/>
              </w:rPr>
            </w:pPr>
            <w:r>
              <w:rPr>
                <w:rFonts w:eastAsia="Calibri"/>
                <w:sz w:val="24"/>
                <w:szCs w:val="24"/>
              </w:rPr>
              <w:t>Từ 9-11 năm</w:t>
            </w:r>
          </w:p>
        </w:tc>
        <w:tc>
          <w:tcPr>
            <w:tcW w:w="857" w:type="pct"/>
            <w:shd w:val="clear" w:color="auto" w:fill="auto"/>
            <w:vAlign w:val="center"/>
          </w:tcPr>
          <w:p w14:paraId="64165264" w14:textId="77777777" w:rsidR="00332399" w:rsidRDefault="00000000" w:rsidP="00B21062">
            <w:pPr>
              <w:spacing w:line="312" w:lineRule="auto"/>
              <w:jc w:val="center"/>
              <w:rPr>
                <w:rFonts w:eastAsia="Calibri"/>
                <w:sz w:val="24"/>
                <w:szCs w:val="24"/>
              </w:rPr>
            </w:pPr>
            <w:r>
              <w:rPr>
                <w:rFonts w:eastAsia="Calibri"/>
                <w:sz w:val="24"/>
                <w:szCs w:val="24"/>
              </w:rPr>
              <w:t>17.5</w:t>
            </w:r>
          </w:p>
        </w:tc>
      </w:tr>
      <w:tr w:rsidR="00332399" w14:paraId="399714F5" w14:textId="77777777">
        <w:tc>
          <w:tcPr>
            <w:tcW w:w="4143" w:type="pct"/>
            <w:shd w:val="clear" w:color="auto" w:fill="auto"/>
            <w:vAlign w:val="center"/>
          </w:tcPr>
          <w:p w14:paraId="595CA5BC" w14:textId="77777777" w:rsidR="00332399" w:rsidRDefault="00000000" w:rsidP="00B21062">
            <w:pPr>
              <w:spacing w:line="312" w:lineRule="auto"/>
              <w:jc w:val="center"/>
              <w:rPr>
                <w:rFonts w:eastAsia="Calibri"/>
                <w:sz w:val="24"/>
                <w:szCs w:val="24"/>
              </w:rPr>
            </w:pPr>
            <w:r>
              <w:rPr>
                <w:rFonts w:eastAsia="Calibri"/>
                <w:sz w:val="24"/>
                <w:szCs w:val="24"/>
              </w:rPr>
              <w:t>Trên 11 năm</w:t>
            </w:r>
          </w:p>
        </w:tc>
        <w:tc>
          <w:tcPr>
            <w:tcW w:w="857" w:type="pct"/>
            <w:shd w:val="clear" w:color="auto" w:fill="auto"/>
            <w:vAlign w:val="center"/>
          </w:tcPr>
          <w:p w14:paraId="524EF197" w14:textId="77777777" w:rsidR="00332399" w:rsidRDefault="00000000" w:rsidP="00B21062">
            <w:pPr>
              <w:spacing w:line="312" w:lineRule="auto"/>
              <w:jc w:val="center"/>
              <w:rPr>
                <w:rFonts w:eastAsia="Calibri"/>
                <w:sz w:val="24"/>
                <w:szCs w:val="24"/>
              </w:rPr>
            </w:pPr>
            <w:r>
              <w:rPr>
                <w:rFonts w:eastAsia="Calibri"/>
                <w:sz w:val="24"/>
                <w:szCs w:val="24"/>
              </w:rPr>
              <w:t>4.5</w:t>
            </w:r>
          </w:p>
        </w:tc>
      </w:tr>
    </w:tbl>
    <w:p w14:paraId="740BD271" w14:textId="77777777" w:rsidR="00332399" w:rsidRDefault="00332399" w:rsidP="00B21062">
      <w:pPr>
        <w:spacing w:line="312" w:lineRule="auto"/>
        <w:rPr>
          <w:rFonts w:eastAsia="Calibri"/>
          <w:b/>
          <w:bCs/>
          <w:i/>
          <w:iCs/>
          <w:sz w:val="27"/>
          <w:szCs w:val="27"/>
        </w:rPr>
      </w:pPr>
    </w:p>
    <w:p w14:paraId="04953848" w14:textId="77777777" w:rsidR="00332399" w:rsidRDefault="00000000" w:rsidP="00B21062">
      <w:pPr>
        <w:spacing w:line="312" w:lineRule="auto"/>
        <w:outlineLvl w:val="1"/>
        <w:rPr>
          <w:rFonts w:eastAsia="Calibri"/>
          <w:b/>
          <w:bCs/>
          <w:i/>
          <w:iCs/>
          <w:sz w:val="27"/>
          <w:szCs w:val="27"/>
        </w:rPr>
      </w:pPr>
      <w:bookmarkStart w:id="41" w:name="_Toc15894"/>
      <w:bookmarkStart w:id="42" w:name="_Toc28828"/>
      <w:bookmarkStart w:id="43" w:name="_Toc4649"/>
      <w:r>
        <w:rPr>
          <w:rFonts w:eastAsia="Calibri"/>
          <w:b/>
          <w:bCs/>
          <w:i/>
          <w:iCs/>
          <w:sz w:val="27"/>
          <w:szCs w:val="27"/>
        </w:rPr>
        <w:t>5.2. Câu hỏi khảo sát</w:t>
      </w:r>
      <w:bookmarkEnd w:id="41"/>
      <w:bookmarkEnd w:id="42"/>
      <w:bookmarkEnd w:id="43"/>
    </w:p>
    <w:p w14:paraId="6B9CE61D" w14:textId="77777777" w:rsidR="00332399" w:rsidRDefault="00000000" w:rsidP="00B21062">
      <w:pPr>
        <w:spacing w:before="160" w:after="160" w:line="312" w:lineRule="auto"/>
        <w:rPr>
          <w:rFonts w:eastAsia="Arial"/>
          <w:i/>
          <w:iCs/>
          <w:spacing w:val="0"/>
          <w:sz w:val="26"/>
          <w:szCs w:val="26"/>
        </w:rPr>
      </w:pPr>
      <w:r>
        <w:rPr>
          <w:rFonts w:eastAsia="Arial"/>
          <w:i/>
          <w:iCs/>
          <w:spacing w:val="0"/>
          <w:sz w:val="26"/>
          <w:szCs w:val="26"/>
        </w:rPr>
        <w:t>Các câu trả lời được thiết kế theo thang đo Likert 5 mức độ</w:t>
      </w:r>
    </w:p>
    <w:p w14:paraId="7D34DD11" w14:textId="77777777" w:rsidR="00332399" w:rsidRDefault="00000000" w:rsidP="00B21062">
      <w:pPr>
        <w:spacing w:before="160" w:after="160" w:line="312" w:lineRule="auto"/>
        <w:jc w:val="both"/>
        <w:outlineLvl w:val="0"/>
        <w:rPr>
          <w:rFonts w:eastAsia="Arial"/>
          <w:b/>
          <w:bCs/>
          <w:spacing w:val="0"/>
          <w:sz w:val="26"/>
          <w:szCs w:val="26"/>
        </w:rPr>
      </w:pPr>
      <w:bookmarkStart w:id="44" w:name="_Toc9163"/>
      <w:bookmarkStart w:id="45" w:name="_Toc7155"/>
      <w:bookmarkStart w:id="46" w:name="_Toc17743"/>
      <w:r>
        <w:rPr>
          <w:rFonts w:eastAsia="Arial"/>
          <w:b/>
          <w:bCs/>
          <w:spacing w:val="0"/>
          <w:sz w:val="26"/>
          <w:szCs w:val="26"/>
        </w:rPr>
        <w:lastRenderedPageBreak/>
        <w:t>Neo tham chiếu và hiệu chỉnh:</w:t>
      </w:r>
      <w:bookmarkEnd w:id="44"/>
      <w:bookmarkEnd w:id="45"/>
      <w:bookmarkEnd w:id="46"/>
    </w:p>
    <w:p w14:paraId="7011E32A"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 Giả sử chỉ số VNIndex hiện tại đang là 1000, theo anh/chị, đến cuối năm chỉ số này cũng chỉ dao động quanh mức 1000</w:t>
      </w:r>
    </w:p>
    <w:p w14:paraId="7944A430"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2. Nếu cổ phiếu anh/chị đang giữ hiện có mức giá cao hơn mức 52 tuần, anh/chị sẵn sàng bán cổ phiếu đó luôn vì nó đã đạt mức lợi nhuận tối đa</w:t>
      </w:r>
    </w:p>
    <w:p w14:paraId="595BAEDC"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3. Nếu năm ngoái giá cổ phiếu đã tăng 17%, vậy năm nay mức tăng giá sẽ nằm trong khoảng 17% đó</w:t>
      </w:r>
    </w:p>
    <w:p w14:paraId="2D501DA4"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4. Nếu kinh tế của Việt Nam tăng trưởng chậm trong nhiều năm, vậy trong năm tới anh/chị cho rằng xu thế này vẫn tiếp tục</w:t>
      </w:r>
    </w:p>
    <w:p w14:paraId="758DEFBF"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5. Nếu anh/chị mua một cổ phiếu ở mức giá 12.000 đồng, khoảng vài tháng sau đó, giá cổ phiếu chạm mốc 20.000 đồng, vì một vài lý do mà anh/chị không bán. Tuy nhiên giá cổ phiếu đột nhiên giảm xuống 15.000 đồng, anh/chị sẽ chờ cổ phiếu đó tăng giá lên 20.000 đồng</w:t>
      </w:r>
    </w:p>
    <w:p w14:paraId="6133640D"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6. Nếu cổ phiếu anh/chị đã mua đang trên đà tăng giá được hơn một năm, anh/chị cho rằng cổ phiếu này sẽ tiếp tục xu hướng đó trong tương lai</w:t>
      </w:r>
    </w:p>
    <w:p w14:paraId="0B9235B2" w14:textId="77777777" w:rsidR="00332399" w:rsidRDefault="00000000" w:rsidP="00B21062">
      <w:pPr>
        <w:spacing w:before="160" w:after="160" w:line="312" w:lineRule="auto"/>
        <w:jc w:val="both"/>
        <w:outlineLvl w:val="0"/>
        <w:rPr>
          <w:rFonts w:eastAsia="Arial"/>
          <w:b/>
          <w:bCs/>
          <w:spacing w:val="0"/>
          <w:sz w:val="26"/>
          <w:szCs w:val="26"/>
        </w:rPr>
      </w:pPr>
      <w:bookmarkStart w:id="47" w:name="_Toc21395"/>
      <w:bookmarkStart w:id="48" w:name="_Toc2549"/>
      <w:bookmarkStart w:id="49" w:name="_Toc18909"/>
      <w:r>
        <w:rPr>
          <w:rFonts w:eastAsia="Arial"/>
          <w:b/>
          <w:bCs/>
          <w:spacing w:val="0"/>
          <w:sz w:val="26"/>
          <w:szCs w:val="26"/>
        </w:rPr>
        <w:t>Tính đại diện</w:t>
      </w:r>
      <w:bookmarkEnd w:id="47"/>
      <w:bookmarkEnd w:id="48"/>
      <w:bookmarkEnd w:id="49"/>
      <w:r>
        <w:rPr>
          <w:rFonts w:eastAsia="Arial"/>
          <w:b/>
          <w:bCs/>
          <w:spacing w:val="0"/>
          <w:sz w:val="26"/>
          <w:szCs w:val="26"/>
        </w:rPr>
        <w:t xml:space="preserve"> </w:t>
      </w:r>
    </w:p>
    <w:p w14:paraId="0322A185"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7. Giả sử rằng người môi giới của anh/chị đưa ra lời khuyên mua không hợp ý của anh/chị, trong một hôm khi nói chuyện với một người bạn, anh bạn đó của anh/chị khoe đã thắng lớn nhờ đầu tư theo lời tư vấn của người môi giới của anh ta. Anh/chị quyết định đổi sang người môi giới của anh bạn đó.</w:t>
      </w:r>
    </w:p>
    <w:p w14:paraId="629B131A"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8. Giả sử anh/chị đang nghiên cứu dữ liệu quá khứ trong 10 quý của một cổ phiếu, anh/chị nhận ra rằng trong 4 đến 5 quý đầu cổ phiếu rất ảm đạm, nhưng bốn quý cuối giá cổ phiếu đó lại tăng trưởng một cách bất ngờ. Anh/chị cho rằng mức tăng trưởng này sẽ tiếp diễn trong tương lai</w:t>
      </w:r>
    </w:p>
    <w:p w14:paraId="7238B798"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9. Giả sử có một công ty trong lĩnh vực sắt thép đã hoạt động được 20 năm, tuy nhiên công ty đang gặp một số khó khăn và thị trường sắt thép đang chứng kiến nhiều vụ phá sản của các công ty trong lĩnh vực này, do đó công ty này sẽ rơi vào tình trạng phá sản như các công ty khác.</w:t>
      </w:r>
    </w:p>
    <w:p w14:paraId="04E82953"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10. Giả sử anh/chị đang muốn đầu tư cổ phiếu trong dài hạn, khi tham khảo ý kiến từ bạn bè, anh bạn đó cho biết hiện đang có một công ty mới IPO và nhiều người cũng mua cổ phiếu này. Anh/ chị sẽ mua cổ phiếu đó</w:t>
      </w:r>
    </w:p>
    <w:p w14:paraId="5986063B"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lastRenderedPageBreak/>
        <w:t>11. Với trường hợp cổ phiếu ở câu 10, anh chị cho rằng cổ phiếu này sẽ đáng để đầu tư dài hạn</w:t>
      </w:r>
    </w:p>
    <w:p w14:paraId="05A9DE4D"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12. Giả sử khi phân tích giao dịch của một nhà đầu tư chuyên nghiệp trong sáu tháng, anh/chị nhận thấy người này đạt được mức lợi nhuận rất tốt. Anh/chị cho rằng người này có kĩ năng giao dịch tốt</w:t>
      </w:r>
    </w:p>
    <w:p w14:paraId="60C1F3C8" w14:textId="77777777" w:rsidR="00332399" w:rsidRDefault="00000000" w:rsidP="00B21062">
      <w:pPr>
        <w:spacing w:before="160" w:after="160" w:line="312" w:lineRule="auto"/>
        <w:jc w:val="both"/>
        <w:outlineLvl w:val="0"/>
        <w:rPr>
          <w:rFonts w:eastAsia="Arial"/>
          <w:b/>
          <w:bCs/>
          <w:spacing w:val="0"/>
          <w:sz w:val="26"/>
          <w:szCs w:val="26"/>
        </w:rPr>
      </w:pPr>
      <w:bookmarkStart w:id="50" w:name="_Toc25460"/>
      <w:bookmarkStart w:id="51" w:name="_Toc14733"/>
      <w:bookmarkStart w:id="52" w:name="_Toc5090"/>
      <w:r>
        <w:rPr>
          <w:rFonts w:eastAsia="Arial"/>
          <w:b/>
          <w:bCs/>
          <w:spacing w:val="0"/>
          <w:sz w:val="26"/>
          <w:szCs w:val="26"/>
        </w:rPr>
        <w:t>Thiên vị sẵn có</w:t>
      </w:r>
      <w:bookmarkEnd w:id="50"/>
      <w:bookmarkEnd w:id="51"/>
      <w:bookmarkEnd w:id="52"/>
    </w:p>
    <w:p w14:paraId="0BB22842"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13. Giả sử rằng anh bạn của anh/chị có nhiều kinh nghiệm đầu tư cổ phiếu, anh ta gợi ý rằng anh/chị nên mua cổ phiếu của công ty A. Anh/chị sẽ mua cổ phiếu đó vì tin vào kinh nghiệm của anh bạn đó</w:t>
      </w:r>
    </w:p>
    <w:p w14:paraId="4CBF3555"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14. Giả sử anh/chị đang lên kế hoạch mua 100 cổ phiếu của một công ty trong lĩnh vực du lịch, sau đó anh/chị nhận được tin rằng một công ty tương tự trong lĩnh vực này cũng đang phát triển mạnh và giá cổ phiếu công ty đó đã tăng 10%. Anh/chị coi thông tin đó như điều xác nhận cho việc lĩnh vực du lịch đang phát triển và quyết định mua ngay 100 cổ phiếu đó</w:t>
      </w:r>
    </w:p>
    <w:p w14:paraId="5E6DD10C"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15. Giả sử rằng anh/chị có một chuyến tham quan tại công ty công nghệ cao và gặp một số người bạn đại học, những người này rất giỏi môn toán. Anh/chị kết luận rằng những người học giỏi toán thường đi làm về lĩnh vực công nghệ cao</w:t>
      </w:r>
    </w:p>
    <w:p w14:paraId="35F9AB07"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16. Giả sử rằng anh/chị đang làm việc tại công ty công nghệ cao và công ty này đang phát triển mạnh, do đó anh/chị cho rằng việc mua cổ phiếu của những công ty trong lĩnh vực này sẽ đem lại lợi nhuận lớn.</w:t>
      </w:r>
    </w:p>
    <w:p w14:paraId="4622F413" w14:textId="77777777" w:rsidR="00332399" w:rsidRDefault="00000000" w:rsidP="00B21062">
      <w:pPr>
        <w:spacing w:before="160" w:after="160" w:line="312" w:lineRule="auto"/>
        <w:jc w:val="both"/>
        <w:outlineLvl w:val="0"/>
        <w:rPr>
          <w:rFonts w:eastAsia="Arial"/>
          <w:b/>
          <w:bCs/>
          <w:spacing w:val="0"/>
          <w:sz w:val="26"/>
          <w:szCs w:val="26"/>
        </w:rPr>
      </w:pPr>
      <w:bookmarkStart w:id="53" w:name="_Toc20567"/>
      <w:bookmarkStart w:id="54" w:name="_Toc8417"/>
      <w:bookmarkStart w:id="55" w:name="_Toc22969"/>
      <w:r>
        <w:rPr>
          <w:rFonts w:eastAsia="Arial"/>
          <w:b/>
          <w:bCs/>
          <w:spacing w:val="0"/>
          <w:sz w:val="26"/>
          <w:szCs w:val="26"/>
        </w:rPr>
        <w:t>Quyết định mua cổ phiếu</w:t>
      </w:r>
      <w:bookmarkEnd w:id="53"/>
      <w:bookmarkEnd w:id="54"/>
      <w:bookmarkEnd w:id="55"/>
    </w:p>
    <w:p w14:paraId="45FA5026"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17. Anh/chị sẽ mua cổ phiếu dựa vào các thông tin lịch sử của cổ phiếu đó như lợi nhuận trong quá khứ, mức giá cao nhất và thấp nhất trong quá khứ</w:t>
      </w:r>
    </w:p>
    <w:p w14:paraId="2EE19414"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18. Quyết định mua cổ phiếu của anh/chị phụ thuộc vào các thông tin của công ty như trả cổ túc, dòng tiền và mức tăng trưởng lợi nhuận</w:t>
      </w:r>
    </w:p>
    <w:p w14:paraId="1EFA87AD" w14:textId="50DFD808" w:rsidR="00332399" w:rsidRDefault="00000000" w:rsidP="00B21062">
      <w:pPr>
        <w:tabs>
          <w:tab w:val="left" w:pos="6883"/>
        </w:tabs>
        <w:spacing w:before="160" w:after="160" w:line="312" w:lineRule="auto"/>
        <w:jc w:val="both"/>
        <w:rPr>
          <w:rFonts w:eastAsia="Arial"/>
          <w:spacing w:val="0"/>
          <w:sz w:val="26"/>
          <w:szCs w:val="26"/>
        </w:rPr>
      </w:pPr>
      <w:r>
        <w:rPr>
          <w:rFonts w:eastAsia="Arial"/>
          <w:spacing w:val="0"/>
          <w:sz w:val="26"/>
          <w:szCs w:val="26"/>
        </w:rPr>
        <w:t>19. Anh/chị sẽ mua cổ phiếu có khối lượng giao dịch lớn</w:t>
      </w:r>
      <w:r w:rsidR="00B21062">
        <w:rPr>
          <w:rFonts w:eastAsia="Arial"/>
          <w:spacing w:val="0"/>
          <w:sz w:val="26"/>
          <w:szCs w:val="26"/>
        </w:rPr>
        <w:tab/>
      </w:r>
    </w:p>
    <w:p w14:paraId="0C33CB79"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20. Anh/chị sẽ mua cổ phiếu được quảng cáo thường xuyên trên các phương tiện thông tin</w:t>
      </w:r>
    </w:p>
    <w:p w14:paraId="3A118958"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21. Anh/chị thường mua những cổ phiếu được đánh giá là vượt trội trên thị trường</w:t>
      </w:r>
    </w:p>
    <w:p w14:paraId="4DCECB23"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t>22. Với những cơ hội đầu tư đã nêu, anh/chị quyết định đầu tư vào cổ phiếu hơn là những chứng khoán có mức thu nhập cố định</w:t>
      </w:r>
    </w:p>
    <w:p w14:paraId="1153D336" w14:textId="77777777" w:rsidR="00332399" w:rsidRDefault="00000000" w:rsidP="00B21062">
      <w:pPr>
        <w:spacing w:before="160" w:after="160" w:line="312" w:lineRule="auto"/>
        <w:jc w:val="both"/>
        <w:rPr>
          <w:rFonts w:eastAsia="Arial"/>
          <w:spacing w:val="0"/>
          <w:sz w:val="26"/>
          <w:szCs w:val="26"/>
        </w:rPr>
      </w:pPr>
      <w:r>
        <w:rPr>
          <w:rFonts w:eastAsia="Arial"/>
          <w:spacing w:val="0"/>
          <w:sz w:val="26"/>
          <w:szCs w:val="26"/>
        </w:rPr>
        <w:lastRenderedPageBreak/>
        <w:t>23. Anh/chị sẽ mua cổ phiếu đang ở giai đoạn giảm giá vì tin rằng nó sẽ sớm tăng giá trở lại</w:t>
      </w:r>
    </w:p>
    <w:sectPr w:rsidR="00332399">
      <w:headerReference w:type="default" r:id="rId10"/>
      <w:pgSz w:w="11906" w:h="16838"/>
      <w:pgMar w:top="1134" w:right="1134" w:bottom="1134"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98A8" w14:textId="77777777" w:rsidR="009A4790" w:rsidRDefault="009A4790">
      <w:pPr>
        <w:spacing w:line="240" w:lineRule="auto"/>
      </w:pPr>
      <w:r>
        <w:separator/>
      </w:r>
    </w:p>
  </w:endnote>
  <w:endnote w:type="continuationSeparator" w:id="0">
    <w:p w14:paraId="692B2C70" w14:textId="77777777" w:rsidR="009A4790" w:rsidRDefault="009A4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7D02" w14:textId="77777777" w:rsidR="009A4790" w:rsidRDefault="009A4790">
      <w:pPr>
        <w:spacing w:after="0"/>
      </w:pPr>
      <w:r>
        <w:separator/>
      </w:r>
    </w:p>
  </w:footnote>
  <w:footnote w:type="continuationSeparator" w:id="0">
    <w:p w14:paraId="37E2A38F" w14:textId="77777777" w:rsidR="009A4790" w:rsidRDefault="009A47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813477"/>
      <w:docPartObj>
        <w:docPartGallery w:val="Page Numbers (Top of Page)"/>
        <w:docPartUnique/>
      </w:docPartObj>
    </w:sdtPr>
    <w:sdtEndPr>
      <w:rPr>
        <w:noProof/>
      </w:rPr>
    </w:sdtEndPr>
    <w:sdtContent>
      <w:p w14:paraId="1F287942" w14:textId="1C918122" w:rsidR="00B21062" w:rsidRDefault="00B210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877582" w14:textId="77777777" w:rsidR="00332399" w:rsidRDefault="0033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2011"/>
    <w:multiLevelType w:val="multilevel"/>
    <w:tmpl w:val="116C20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018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88"/>
    <w:rsid w:val="00003F59"/>
    <w:rsid w:val="00005C50"/>
    <w:rsid w:val="00010DE4"/>
    <w:rsid w:val="00016C51"/>
    <w:rsid w:val="00021224"/>
    <w:rsid w:val="000300EE"/>
    <w:rsid w:val="000345FA"/>
    <w:rsid w:val="000376AF"/>
    <w:rsid w:val="00037CC8"/>
    <w:rsid w:val="00040029"/>
    <w:rsid w:val="00047734"/>
    <w:rsid w:val="00062712"/>
    <w:rsid w:val="000633C0"/>
    <w:rsid w:val="000665B1"/>
    <w:rsid w:val="0007102F"/>
    <w:rsid w:val="000756AA"/>
    <w:rsid w:val="00077D3B"/>
    <w:rsid w:val="00080103"/>
    <w:rsid w:val="00081C65"/>
    <w:rsid w:val="000821BB"/>
    <w:rsid w:val="000824A4"/>
    <w:rsid w:val="00083B63"/>
    <w:rsid w:val="00083EC5"/>
    <w:rsid w:val="00093278"/>
    <w:rsid w:val="00095538"/>
    <w:rsid w:val="00096975"/>
    <w:rsid w:val="000A22F1"/>
    <w:rsid w:val="000A26EC"/>
    <w:rsid w:val="000A2E6F"/>
    <w:rsid w:val="000B0683"/>
    <w:rsid w:val="000B07B8"/>
    <w:rsid w:val="000B09B6"/>
    <w:rsid w:val="000B3B35"/>
    <w:rsid w:val="000B46F9"/>
    <w:rsid w:val="000B4D5E"/>
    <w:rsid w:val="000B5837"/>
    <w:rsid w:val="000C3422"/>
    <w:rsid w:val="000C59C7"/>
    <w:rsid w:val="000D091F"/>
    <w:rsid w:val="000D39FF"/>
    <w:rsid w:val="000D7555"/>
    <w:rsid w:val="000F34C8"/>
    <w:rsid w:val="00103222"/>
    <w:rsid w:val="001032D0"/>
    <w:rsid w:val="001038ED"/>
    <w:rsid w:val="00104164"/>
    <w:rsid w:val="00106852"/>
    <w:rsid w:val="00112067"/>
    <w:rsid w:val="001171AF"/>
    <w:rsid w:val="00120C9A"/>
    <w:rsid w:val="00121354"/>
    <w:rsid w:val="001213D4"/>
    <w:rsid w:val="00121A01"/>
    <w:rsid w:val="001253C1"/>
    <w:rsid w:val="00131CAB"/>
    <w:rsid w:val="0013792B"/>
    <w:rsid w:val="00137FF0"/>
    <w:rsid w:val="00142050"/>
    <w:rsid w:val="00143E3C"/>
    <w:rsid w:val="00147416"/>
    <w:rsid w:val="0015132A"/>
    <w:rsid w:val="001557B6"/>
    <w:rsid w:val="00162B11"/>
    <w:rsid w:val="001665DB"/>
    <w:rsid w:val="00183CB0"/>
    <w:rsid w:val="00184B1C"/>
    <w:rsid w:val="00184BAA"/>
    <w:rsid w:val="00184EB2"/>
    <w:rsid w:val="001857DD"/>
    <w:rsid w:val="0019152C"/>
    <w:rsid w:val="00195146"/>
    <w:rsid w:val="001A306B"/>
    <w:rsid w:val="001A3859"/>
    <w:rsid w:val="001A3B65"/>
    <w:rsid w:val="001B1798"/>
    <w:rsid w:val="001B24E0"/>
    <w:rsid w:val="001B28CA"/>
    <w:rsid w:val="001B2A3F"/>
    <w:rsid w:val="001B748E"/>
    <w:rsid w:val="001C1A87"/>
    <w:rsid w:val="001C7289"/>
    <w:rsid w:val="001D3016"/>
    <w:rsid w:val="001D6973"/>
    <w:rsid w:val="001F0921"/>
    <w:rsid w:val="001F1979"/>
    <w:rsid w:val="001F1F6C"/>
    <w:rsid w:val="001F301E"/>
    <w:rsid w:val="00200385"/>
    <w:rsid w:val="00200425"/>
    <w:rsid w:val="002141B4"/>
    <w:rsid w:val="00221AD9"/>
    <w:rsid w:val="00222E20"/>
    <w:rsid w:val="002235F9"/>
    <w:rsid w:val="00230CD4"/>
    <w:rsid w:val="00230D29"/>
    <w:rsid w:val="0023202A"/>
    <w:rsid w:val="002526C5"/>
    <w:rsid w:val="00263A36"/>
    <w:rsid w:val="00267891"/>
    <w:rsid w:val="00274688"/>
    <w:rsid w:val="00276A69"/>
    <w:rsid w:val="00284982"/>
    <w:rsid w:val="002860B9"/>
    <w:rsid w:val="002930F5"/>
    <w:rsid w:val="00297C73"/>
    <w:rsid w:val="002A2B0F"/>
    <w:rsid w:val="002A4F5E"/>
    <w:rsid w:val="002A7CA8"/>
    <w:rsid w:val="002B03C3"/>
    <w:rsid w:val="002B308B"/>
    <w:rsid w:val="002B3569"/>
    <w:rsid w:val="002B35D0"/>
    <w:rsid w:val="002B3E81"/>
    <w:rsid w:val="002B5481"/>
    <w:rsid w:val="002B6C0A"/>
    <w:rsid w:val="002C0DD6"/>
    <w:rsid w:val="002C0F29"/>
    <w:rsid w:val="002C2419"/>
    <w:rsid w:val="002C28BF"/>
    <w:rsid w:val="002C2DD6"/>
    <w:rsid w:val="002C7A79"/>
    <w:rsid w:val="002C7EC7"/>
    <w:rsid w:val="002D0EDD"/>
    <w:rsid w:val="002D20B9"/>
    <w:rsid w:val="002D56D7"/>
    <w:rsid w:val="002E3D9B"/>
    <w:rsid w:val="002E56EC"/>
    <w:rsid w:val="002E5ADF"/>
    <w:rsid w:val="002E7225"/>
    <w:rsid w:val="002E742A"/>
    <w:rsid w:val="002E7E9A"/>
    <w:rsid w:val="002F263D"/>
    <w:rsid w:val="003007FD"/>
    <w:rsid w:val="00301816"/>
    <w:rsid w:val="00301827"/>
    <w:rsid w:val="00303D91"/>
    <w:rsid w:val="003079AD"/>
    <w:rsid w:val="00315DFC"/>
    <w:rsid w:val="0031633B"/>
    <w:rsid w:val="00321ACA"/>
    <w:rsid w:val="00321BAD"/>
    <w:rsid w:val="00323509"/>
    <w:rsid w:val="003249E9"/>
    <w:rsid w:val="00326E0F"/>
    <w:rsid w:val="00327B05"/>
    <w:rsid w:val="00330C2C"/>
    <w:rsid w:val="00332399"/>
    <w:rsid w:val="00332846"/>
    <w:rsid w:val="00332CBD"/>
    <w:rsid w:val="00333800"/>
    <w:rsid w:val="00334BA5"/>
    <w:rsid w:val="003354E6"/>
    <w:rsid w:val="00335764"/>
    <w:rsid w:val="0033676A"/>
    <w:rsid w:val="00343A26"/>
    <w:rsid w:val="00345B1A"/>
    <w:rsid w:val="00351C53"/>
    <w:rsid w:val="00352B3D"/>
    <w:rsid w:val="00353A92"/>
    <w:rsid w:val="00355F06"/>
    <w:rsid w:val="003602AA"/>
    <w:rsid w:val="003610C3"/>
    <w:rsid w:val="003623F0"/>
    <w:rsid w:val="00363FEF"/>
    <w:rsid w:val="00367AA2"/>
    <w:rsid w:val="00370533"/>
    <w:rsid w:val="003736A7"/>
    <w:rsid w:val="003760DC"/>
    <w:rsid w:val="00376667"/>
    <w:rsid w:val="00381D91"/>
    <w:rsid w:val="00384A40"/>
    <w:rsid w:val="00390DF7"/>
    <w:rsid w:val="00392EBD"/>
    <w:rsid w:val="00393632"/>
    <w:rsid w:val="00393956"/>
    <w:rsid w:val="003942CA"/>
    <w:rsid w:val="00397CAE"/>
    <w:rsid w:val="003B1F5F"/>
    <w:rsid w:val="003B35F1"/>
    <w:rsid w:val="003C127F"/>
    <w:rsid w:val="003C34C5"/>
    <w:rsid w:val="003C3506"/>
    <w:rsid w:val="003D2831"/>
    <w:rsid w:val="003D4D4F"/>
    <w:rsid w:val="003D6BA6"/>
    <w:rsid w:val="003E34D1"/>
    <w:rsid w:val="003E75E9"/>
    <w:rsid w:val="003F467E"/>
    <w:rsid w:val="003F580C"/>
    <w:rsid w:val="00400C37"/>
    <w:rsid w:val="00401973"/>
    <w:rsid w:val="004036F9"/>
    <w:rsid w:val="00403A5F"/>
    <w:rsid w:val="004115D3"/>
    <w:rsid w:val="0041702D"/>
    <w:rsid w:val="00423943"/>
    <w:rsid w:val="00424114"/>
    <w:rsid w:val="004252CA"/>
    <w:rsid w:val="00430204"/>
    <w:rsid w:val="004418C8"/>
    <w:rsid w:val="00444B04"/>
    <w:rsid w:val="00444C5D"/>
    <w:rsid w:val="00446AA4"/>
    <w:rsid w:val="004503D5"/>
    <w:rsid w:val="00451413"/>
    <w:rsid w:val="00457620"/>
    <w:rsid w:val="004631A0"/>
    <w:rsid w:val="004639B5"/>
    <w:rsid w:val="00466FA4"/>
    <w:rsid w:val="004703B0"/>
    <w:rsid w:val="00472CD2"/>
    <w:rsid w:val="00475A50"/>
    <w:rsid w:val="00475C12"/>
    <w:rsid w:val="00476897"/>
    <w:rsid w:val="00477248"/>
    <w:rsid w:val="00477911"/>
    <w:rsid w:val="00487953"/>
    <w:rsid w:val="00490E3A"/>
    <w:rsid w:val="00494FC0"/>
    <w:rsid w:val="004951A7"/>
    <w:rsid w:val="00496A23"/>
    <w:rsid w:val="004A7BB3"/>
    <w:rsid w:val="004B476C"/>
    <w:rsid w:val="004C6903"/>
    <w:rsid w:val="004C6A6F"/>
    <w:rsid w:val="004D01EB"/>
    <w:rsid w:val="004D0DCA"/>
    <w:rsid w:val="004D26CF"/>
    <w:rsid w:val="004D7DB8"/>
    <w:rsid w:val="004E1BF6"/>
    <w:rsid w:val="004E6275"/>
    <w:rsid w:val="004E675F"/>
    <w:rsid w:val="004E7AFB"/>
    <w:rsid w:val="004F0A4A"/>
    <w:rsid w:val="004F2662"/>
    <w:rsid w:val="004F481E"/>
    <w:rsid w:val="004F7AAA"/>
    <w:rsid w:val="0050034B"/>
    <w:rsid w:val="00501140"/>
    <w:rsid w:val="005059C3"/>
    <w:rsid w:val="00513BAA"/>
    <w:rsid w:val="00513E92"/>
    <w:rsid w:val="00514562"/>
    <w:rsid w:val="00525D9A"/>
    <w:rsid w:val="0053046B"/>
    <w:rsid w:val="00530E0D"/>
    <w:rsid w:val="00531769"/>
    <w:rsid w:val="00532605"/>
    <w:rsid w:val="005332B5"/>
    <w:rsid w:val="00536BD5"/>
    <w:rsid w:val="005411A9"/>
    <w:rsid w:val="005429AE"/>
    <w:rsid w:val="00545FF6"/>
    <w:rsid w:val="005507B8"/>
    <w:rsid w:val="0055303B"/>
    <w:rsid w:val="00561B30"/>
    <w:rsid w:val="00562B14"/>
    <w:rsid w:val="00564696"/>
    <w:rsid w:val="00565938"/>
    <w:rsid w:val="00567728"/>
    <w:rsid w:val="0057231A"/>
    <w:rsid w:val="00582E26"/>
    <w:rsid w:val="00590014"/>
    <w:rsid w:val="00590672"/>
    <w:rsid w:val="00590987"/>
    <w:rsid w:val="00590A55"/>
    <w:rsid w:val="00592140"/>
    <w:rsid w:val="00594C4B"/>
    <w:rsid w:val="005969C5"/>
    <w:rsid w:val="005A0E5A"/>
    <w:rsid w:val="005A4017"/>
    <w:rsid w:val="005A632F"/>
    <w:rsid w:val="005B3A3A"/>
    <w:rsid w:val="005B3B27"/>
    <w:rsid w:val="005C2F1B"/>
    <w:rsid w:val="005C784D"/>
    <w:rsid w:val="005D08F2"/>
    <w:rsid w:val="005D0BB7"/>
    <w:rsid w:val="005D3221"/>
    <w:rsid w:val="005D68CD"/>
    <w:rsid w:val="005E70E0"/>
    <w:rsid w:val="005F23F5"/>
    <w:rsid w:val="005F251A"/>
    <w:rsid w:val="006100FD"/>
    <w:rsid w:val="00612896"/>
    <w:rsid w:val="0061585A"/>
    <w:rsid w:val="0062032D"/>
    <w:rsid w:val="00621728"/>
    <w:rsid w:val="00621F7C"/>
    <w:rsid w:val="006235C3"/>
    <w:rsid w:val="006348CB"/>
    <w:rsid w:val="00642D0F"/>
    <w:rsid w:val="00645C86"/>
    <w:rsid w:val="00646502"/>
    <w:rsid w:val="00652C43"/>
    <w:rsid w:val="00657B43"/>
    <w:rsid w:val="006651D9"/>
    <w:rsid w:val="00671C03"/>
    <w:rsid w:val="006722E6"/>
    <w:rsid w:val="0067749A"/>
    <w:rsid w:val="00681DDF"/>
    <w:rsid w:val="00690186"/>
    <w:rsid w:val="00694428"/>
    <w:rsid w:val="006A1407"/>
    <w:rsid w:val="006A3581"/>
    <w:rsid w:val="006A528B"/>
    <w:rsid w:val="006B19B9"/>
    <w:rsid w:val="006B3B88"/>
    <w:rsid w:val="006B7B94"/>
    <w:rsid w:val="006C41F8"/>
    <w:rsid w:val="006C7FB0"/>
    <w:rsid w:val="006D0B56"/>
    <w:rsid w:val="006D0C6E"/>
    <w:rsid w:val="006E39C7"/>
    <w:rsid w:val="006E3A2D"/>
    <w:rsid w:val="006F79B0"/>
    <w:rsid w:val="00700C23"/>
    <w:rsid w:val="00705608"/>
    <w:rsid w:val="007118C3"/>
    <w:rsid w:val="00714F58"/>
    <w:rsid w:val="00720340"/>
    <w:rsid w:val="00724780"/>
    <w:rsid w:val="00732E07"/>
    <w:rsid w:val="00735487"/>
    <w:rsid w:val="0074256C"/>
    <w:rsid w:val="00744D74"/>
    <w:rsid w:val="007505FE"/>
    <w:rsid w:val="00752E5D"/>
    <w:rsid w:val="0075628C"/>
    <w:rsid w:val="0076278F"/>
    <w:rsid w:val="007639DE"/>
    <w:rsid w:val="007658C4"/>
    <w:rsid w:val="00767D58"/>
    <w:rsid w:val="00770837"/>
    <w:rsid w:val="007741B8"/>
    <w:rsid w:val="00774732"/>
    <w:rsid w:val="00775EB2"/>
    <w:rsid w:val="007763AB"/>
    <w:rsid w:val="00776F09"/>
    <w:rsid w:val="007777F2"/>
    <w:rsid w:val="00781282"/>
    <w:rsid w:val="00783131"/>
    <w:rsid w:val="00790091"/>
    <w:rsid w:val="00792A60"/>
    <w:rsid w:val="0079550D"/>
    <w:rsid w:val="00797C29"/>
    <w:rsid w:val="007A0302"/>
    <w:rsid w:val="007A2BA7"/>
    <w:rsid w:val="007A5185"/>
    <w:rsid w:val="007A59D0"/>
    <w:rsid w:val="007A5C2D"/>
    <w:rsid w:val="007B1684"/>
    <w:rsid w:val="007B1F03"/>
    <w:rsid w:val="007B5015"/>
    <w:rsid w:val="007C08BE"/>
    <w:rsid w:val="007C2AB8"/>
    <w:rsid w:val="007C4CC3"/>
    <w:rsid w:val="007C639C"/>
    <w:rsid w:val="007C6A3D"/>
    <w:rsid w:val="007D527D"/>
    <w:rsid w:val="007E04BC"/>
    <w:rsid w:val="007E0616"/>
    <w:rsid w:val="007E2DB9"/>
    <w:rsid w:val="007E3312"/>
    <w:rsid w:val="007E4C35"/>
    <w:rsid w:val="007E6EB1"/>
    <w:rsid w:val="007E6F6F"/>
    <w:rsid w:val="007F076D"/>
    <w:rsid w:val="007F1215"/>
    <w:rsid w:val="007F752D"/>
    <w:rsid w:val="007F7EE4"/>
    <w:rsid w:val="0080686A"/>
    <w:rsid w:val="00806DEF"/>
    <w:rsid w:val="00806FA1"/>
    <w:rsid w:val="00812E37"/>
    <w:rsid w:val="00815F3B"/>
    <w:rsid w:val="008168CD"/>
    <w:rsid w:val="008205C6"/>
    <w:rsid w:val="00823BDC"/>
    <w:rsid w:val="00823D74"/>
    <w:rsid w:val="00825EB9"/>
    <w:rsid w:val="00830663"/>
    <w:rsid w:val="008346C8"/>
    <w:rsid w:val="00845B5E"/>
    <w:rsid w:val="008465B3"/>
    <w:rsid w:val="0084719F"/>
    <w:rsid w:val="008549B6"/>
    <w:rsid w:val="00856747"/>
    <w:rsid w:val="00860DE0"/>
    <w:rsid w:val="00867A46"/>
    <w:rsid w:val="008745F8"/>
    <w:rsid w:val="00874879"/>
    <w:rsid w:val="00876955"/>
    <w:rsid w:val="00876F06"/>
    <w:rsid w:val="0088329F"/>
    <w:rsid w:val="008848D4"/>
    <w:rsid w:val="00885B9C"/>
    <w:rsid w:val="00890812"/>
    <w:rsid w:val="00891DE0"/>
    <w:rsid w:val="00893580"/>
    <w:rsid w:val="00894604"/>
    <w:rsid w:val="008A0937"/>
    <w:rsid w:val="008A4850"/>
    <w:rsid w:val="008A59F2"/>
    <w:rsid w:val="008A680A"/>
    <w:rsid w:val="008B1760"/>
    <w:rsid w:val="008B1F62"/>
    <w:rsid w:val="008C0A9E"/>
    <w:rsid w:val="008C29C0"/>
    <w:rsid w:val="008C47A7"/>
    <w:rsid w:val="008C6655"/>
    <w:rsid w:val="008C7808"/>
    <w:rsid w:val="008D0F3C"/>
    <w:rsid w:val="008D16AE"/>
    <w:rsid w:val="008D1BE7"/>
    <w:rsid w:val="008D3DF1"/>
    <w:rsid w:val="008D598F"/>
    <w:rsid w:val="008E0A47"/>
    <w:rsid w:val="008E5B0F"/>
    <w:rsid w:val="008E69AB"/>
    <w:rsid w:val="008F0979"/>
    <w:rsid w:val="008F113B"/>
    <w:rsid w:val="008F1245"/>
    <w:rsid w:val="008F125D"/>
    <w:rsid w:val="008F1B70"/>
    <w:rsid w:val="008F32CA"/>
    <w:rsid w:val="008F4585"/>
    <w:rsid w:val="008F4791"/>
    <w:rsid w:val="008F6FA0"/>
    <w:rsid w:val="008F7500"/>
    <w:rsid w:val="0090268E"/>
    <w:rsid w:val="00910E32"/>
    <w:rsid w:val="0091379A"/>
    <w:rsid w:val="0091456B"/>
    <w:rsid w:val="00920B7B"/>
    <w:rsid w:val="00924FA2"/>
    <w:rsid w:val="0093450C"/>
    <w:rsid w:val="0093485A"/>
    <w:rsid w:val="00944C75"/>
    <w:rsid w:val="00951D72"/>
    <w:rsid w:val="00952E43"/>
    <w:rsid w:val="009541B1"/>
    <w:rsid w:val="009549F9"/>
    <w:rsid w:val="00961C4A"/>
    <w:rsid w:val="009630F3"/>
    <w:rsid w:val="009633AC"/>
    <w:rsid w:val="00964E15"/>
    <w:rsid w:val="00965763"/>
    <w:rsid w:val="00970357"/>
    <w:rsid w:val="00970546"/>
    <w:rsid w:val="0097513E"/>
    <w:rsid w:val="009756F0"/>
    <w:rsid w:val="00975B06"/>
    <w:rsid w:val="00980D0E"/>
    <w:rsid w:val="00987325"/>
    <w:rsid w:val="0099342E"/>
    <w:rsid w:val="00994639"/>
    <w:rsid w:val="00994B46"/>
    <w:rsid w:val="009A2EFD"/>
    <w:rsid w:val="009A4790"/>
    <w:rsid w:val="009A5F91"/>
    <w:rsid w:val="009A6683"/>
    <w:rsid w:val="009A71B4"/>
    <w:rsid w:val="009A78AE"/>
    <w:rsid w:val="009B1375"/>
    <w:rsid w:val="009B563A"/>
    <w:rsid w:val="009D3FA1"/>
    <w:rsid w:val="009E0A75"/>
    <w:rsid w:val="009E3726"/>
    <w:rsid w:val="009F1121"/>
    <w:rsid w:val="009F40D2"/>
    <w:rsid w:val="00A00F13"/>
    <w:rsid w:val="00A03E8A"/>
    <w:rsid w:val="00A047F0"/>
    <w:rsid w:val="00A11010"/>
    <w:rsid w:val="00A11C9A"/>
    <w:rsid w:val="00A14ECC"/>
    <w:rsid w:val="00A21AD4"/>
    <w:rsid w:val="00A244DC"/>
    <w:rsid w:val="00A314EB"/>
    <w:rsid w:val="00A34249"/>
    <w:rsid w:val="00A352FC"/>
    <w:rsid w:val="00A43D65"/>
    <w:rsid w:val="00A44FDE"/>
    <w:rsid w:val="00A506A5"/>
    <w:rsid w:val="00A60F3A"/>
    <w:rsid w:val="00A63557"/>
    <w:rsid w:val="00A638E3"/>
    <w:rsid w:val="00A63F51"/>
    <w:rsid w:val="00A73AA1"/>
    <w:rsid w:val="00A75A15"/>
    <w:rsid w:val="00A845EF"/>
    <w:rsid w:val="00A86F3A"/>
    <w:rsid w:val="00A90947"/>
    <w:rsid w:val="00A9344B"/>
    <w:rsid w:val="00AA11DB"/>
    <w:rsid w:val="00AA135D"/>
    <w:rsid w:val="00AA1AC3"/>
    <w:rsid w:val="00AA7B6D"/>
    <w:rsid w:val="00AB635E"/>
    <w:rsid w:val="00AC6222"/>
    <w:rsid w:val="00AC6B2E"/>
    <w:rsid w:val="00AC7B17"/>
    <w:rsid w:val="00AD0219"/>
    <w:rsid w:val="00AD2641"/>
    <w:rsid w:val="00AD70FD"/>
    <w:rsid w:val="00AE2174"/>
    <w:rsid w:val="00AE27EB"/>
    <w:rsid w:val="00AE7740"/>
    <w:rsid w:val="00AF1DD5"/>
    <w:rsid w:val="00AF22E6"/>
    <w:rsid w:val="00AF28DF"/>
    <w:rsid w:val="00AF67D6"/>
    <w:rsid w:val="00B053E4"/>
    <w:rsid w:val="00B078D9"/>
    <w:rsid w:val="00B13003"/>
    <w:rsid w:val="00B13145"/>
    <w:rsid w:val="00B15392"/>
    <w:rsid w:val="00B164B6"/>
    <w:rsid w:val="00B21062"/>
    <w:rsid w:val="00B21DB3"/>
    <w:rsid w:val="00B257F5"/>
    <w:rsid w:val="00B271BB"/>
    <w:rsid w:val="00B30FFB"/>
    <w:rsid w:val="00B35A89"/>
    <w:rsid w:val="00B35F8E"/>
    <w:rsid w:val="00B40135"/>
    <w:rsid w:val="00B416F6"/>
    <w:rsid w:val="00B417F7"/>
    <w:rsid w:val="00B42148"/>
    <w:rsid w:val="00B42EB3"/>
    <w:rsid w:val="00B44D45"/>
    <w:rsid w:val="00B453ED"/>
    <w:rsid w:val="00B46529"/>
    <w:rsid w:val="00B46B52"/>
    <w:rsid w:val="00B4741E"/>
    <w:rsid w:val="00B5020F"/>
    <w:rsid w:val="00B527D2"/>
    <w:rsid w:val="00B52D17"/>
    <w:rsid w:val="00B5786F"/>
    <w:rsid w:val="00B579F5"/>
    <w:rsid w:val="00B57ACD"/>
    <w:rsid w:val="00B62851"/>
    <w:rsid w:val="00B654CC"/>
    <w:rsid w:val="00B67BD3"/>
    <w:rsid w:val="00B71A74"/>
    <w:rsid w:val="00B731B7"/>
    <w:rsid w:val="00B75AA2"/>
    <w:rsid w:val="00B77E1E"/>
    <w:rsid w:val="00B80E2B"/>
    <w:rsid w:val="00B8142F"/>
    <w:rsid w:val="00B84960"/>
    <w:rsid w:val="00B86892"/>
    <w:rsid w:val="00B87DC7"/>
    <w:rsid w:val="00B90DDE"/>
    <w:rsid w:val="00B924B2"/>
    <w:rsid w:val="00B92689"/>
    <w:rsid w:val="00B94854"/>
    <w:rsid w:val="00BA100F"/>
    <w:rsid w:val="00BA1CF4"/>
    <w:rsid w:val="00BA2CE0"/>
    <w:rsid w:val="00BA2E2E"/>
    <w:rsid w:val="00BB0390"/>
    <w:rsid w:val="00BB3B46"/>
    <w:rsid w:val="00BC448C"/>
    <w:rsid w:val="00BC5180"/>
    <w:rsid w:val="00BD3D35"/>
    <w:rsid w:val="00BE065D"/>
    <w:rsid w:val="00BE3BBD"/>
    <w:rsid w:val="00BE408F"/>
    <w:rsid w:val="00BE4387"/>
    <w:rsid w:val="00BE5B57"/>
    <w:rsid w:val="00BE75DE"/>
    <w:rsid w:val="00BF00CA"/>
    <w:rsid w:val="00BF7C60"/>
    <w:rsid w:val="00C022AF"/>
    <w:rsid w:val="00C078CB"/>
    <w:rsid w:val="00C20EF6"/>
    <w:rsid w:val="00C24FDF"/>
    <w:rsid w:val="00C25184"/>
    <w:rsid w:val="00C33283"/>
    <w:rsid w:val="00C35B73"/>
    <w:rsid w:val="00C37C21"/>
    <w:rsid w:val="00C43BED"/>
    <w:rsid w:val="00C52E09"/>
    <w:rsid w:val="00C539C5"/>
    <w:rsid w:val="00C6315D"/>
    <w:rsid w:val="00C65D26"/>
    <w:rsid w:val="00C67702"/>
    <w:rsid w:val="00C75802"/>
    <w:rsid w:val="00C774EB"/>
    <w:rsid w:val="00C8007D"/>
    <w:rsid w:val="00C8069C"/>
    <w:rsid w:val="00C80AF6"/>
    <w:rsid w:val="00C86AC8"/>
    <w:rsid w:val="00C930CB"/>
    <w:rsid w:val="00C9427C"/>
    <w:rsid w:val="00CA06C7"/>
    <w:rsid w:val="00CA45E4"/>
    <w:rsid w:val="00CA4AA5"/>
    <w:rsid w:val="00CA4C28"/>
    <w:rsid w:val="00CA5E3B"/>
    <w:rsid w:val="00CB034B"/>
    <w:rsid w:val="00CB370C"/>
    <w:rsid w:val="00CB3E78"/>
    <w:rsid w:val="00CB4283"/>
    <w:rsid w:val="00CB7F24"/>
    <w:rsid w:val="00CC5DF7"/>
    <w:rsid w:val="00CD76B1"/>
    <w:rsid w:val="00CE548C"/>
    <w:rsid w:val="00CF1329"/>
    <w:rsid w:val="00CF3A05"/>
    <w:rsid w:val="00CF42DA"/>
    <w:rsid w:val="00D06E66"/>
    <w:rsid w:val="00D11278"/>
    <w:rsid w:val="00D1371B"/>
    <w:rsid w:val="00D2591E"/>
    <w:rsid w:val="00D25935"/>
    <w:rsid w:val="00D27DBB"/>
    <w:rsid w:val="00D307B3"/>
    <w:rsid w:val="00D311AE"/>
    <w:rsid w:val="00D3191B"/>
    <w:rsid w:val="00D33AE9"/>
    <w:rsid w:val="00D33B4C"/>
    <w:rsid w:val="00D40955"/>
    <w:rsid w:val="00D464C0"/>
    <w:rsid w:val="00D5057D"/>
    <w:rsid w:val="00D521F9"/>
    <w:rsid w:val="00D54AEE"/>
    <w:rsid w:val="00D57109"/>
    <w:rsid w:val="00D65B6C"/>
    <w:rsid w:val="00D65CE1"/>
    <w:rsid w:val="00D67677"/>
    <w:rsid w:val="00D71296"/>
    <w:rsid w:val="00D77165"/>
    <w:rsid w:val="00D8075D"/>
    <w:rsid w:val="00D827ED"/>
    <w:rsid w:val="00D84D46"/>
    <w:rsid w:val="00D90F08"/>
    <w:rsid w:val="00DA0247"/>
    <w:rsid w:val="00DA24C3"/>
    <w:rsid w:val="00DB0ADD"/>
    <w:rsid w:val="00DB5CC3"/>
    <w:rsid w:val="00DC46B2"/>
    <w:rsid w:val="00DD6D69"/>
    <w:rsid w:val="00DE3DAC"/>
    <w:rsid w:val="00DF0246"/>
    <w:rsid w:val="00DF0A1A"/>
    <w:rsid w:val="00DF23F0"/>
    <w:rsid w:val="00DF6855"/>
    <w:rsid w:val="00DF6EBA"/>
    <w:rsid w:val="00E01ECD"/>
    <w:rsid w:val="00E059DD"/>
    <w:rsid w:val="00E10786"/>
    <w:rsid w:val="00E217F0"/>
    <w:rsid w:val="00E22C46"/>
    <w:rsid w:val="00E244F3"/>
    <w:rsid w:val="00E24A97"/>
    <w:rsid w:val="00E25AC6"/>
    <w:rsid w:val="00E35581"/>
    <w:rsid w:val="00E36E21"/>
    <w:rsid w:val="00E40012"/>
    <w:rsid w:val="00E42D75"/>
    <w:rsid w:val="00E473BA"/>
    <w:rsid w:val="00E56F42"/>
    <w:rsid w:val="00E623DB"/>
    <w:rsid w:val="00E7027F"/>
    <w:rsid w:val="00E703A8"/>
    <w:rsid w:val="00E70B06"/>
    <w:rsid w:val="00E71035"/>
    <w:rsid w:val="00E7270A"/>
    <w:rsid w:val="00E72F9D"/>
    <w:rsid w:val="00E74475"/>
    <w:rsid w:val="00E778E1"/>
    <w:rsid w:val="00E80140"/>
    <w:rsid w:val="00E80C18"/>
    <w:rsid w:val="00E813B9"/>
    <w:rsid w:val="00E87589"/>
    <w:rsid w:val="00E92469"/>
    <w:rsid w:val="00E96F1E"/>
    <w:rsid w:val="00EA3978"/>
    <w:rsid w:val="00EA3F06"/>
    <w:rsid w:val="00EA5AE2"/>
    <w:rsid w:val="00EA6634"/>
    <w:rsid w:val="00EB294B"/>
    <w:rsid w:val="00EB313B"/>
    <w:rsid w:val="00EB78BF"/>
    <w:rsid w:val="00EC5C2B"/>
    <w:rsid w:val="00ED3B83"/>
    <w:rsid w:val="00EE1B74"/>
    <w:rsid w:val="00EF18A3"/>
    <w:rsid w:val="00EF270A"/>
    <w:rsid w:val="00EF5765"/>
    <w:rsid w:val="00EF75AC"/>
    <w:rsid w:val="00F000D9"/>
    <w:rsid w:val="00F01594"/>
    <w:rsid w:val="00F01B79"/>
    <w:rsid w:val="00F02941"/>
    <w:rsid w:val="00F050AD"/>
    <w:rsid w:val="00F05BA0"/>
    <w:rsid w:val="00F10899"/>
    <w:rsid w:val="00F1134B"/>
    <w:rsid w:val="00F129B3"/>
    <w:rsid w:val="00F12BE8"/>
    <w:rsid w:val="00F13E11"/>
    <w:rsid w:val="00F1420E"/>
    <w:rsid w:val="00F14DFC"/>
    <w:rsid w:val="00F156B4"/>
    <w:rsid w:val="00F16746"/>
    <w:rsid w:val="00F173B9"/>
    <w:rsid w:val="00F22AFE"/>
    <w:rsid w:val="00F2495D"/>
    <w:rsid w:val="00F269F6"/>
    <w:rsid w:val="00F317D7"/>
    <w:rsid w:val="00F333E5"/>
    <w:rsid w:val="00F35A79"/>
    <w:rsid w:val="00F367C3"/>
    <w:rsid w:val="00F51005"/>
    <w:rsid w:val="00F63633"/>
    <w:rsid w:val="00F63D03"/>
    <w:rsid w:val="00F64687"/>
    <w:rsid w:val="00F652E5"/>
    <w:rsid w:val="00F66E94"/>
    <w:rsid w:val="00F67544"/>
    <w:rsid w:val="00F73BA7"/>
    <w:rsid w:val="00F74C1A"/>
    <w:rsid w:val="00F75041"/>
    <w:rsid w:val="00F811D3"/>
    <w:rsid w:val="00F820AD"/>
    <w:rsid w:val="00F824C3"/>
    <w:rsid w:val="00F830C9"/>
    <w:rsid w:val="00F93ACE"/>
    <w:rsid w:val="00F9554C"/>
    <w:rsid w:val="00F96D18"/>
    <w:rsid w:val="00F97DCE"/>
    <w:rsid w:val="00FA011A"/>
    <w:rsid w:val="00FA0A1D"/>
    <w:rsid w:val="00FA10D6"/>
    <w:rsid w:val="00FA1796"/>
    <w:rsid w:val="00FA2362"/>
    <w:rsid w:val="00FB1E8C"/>
    <w:rsid w:val="00FB55CD"/>
    <w:rsid w:val="00FC7E1F"/>
    <w:rsid w:val="00FD30A6"/>
    <w:rsid w:val="00FD54FA"/>
    <w:rsid w:val="00FD689A"/>
    <w:rsid w:val="00FE384D"/>
    <w:rsid w:val="00FE53D5"/>
    <w:rsid w:val="00FE5D40"/>
    <w:rsid w:val="00FE7229"/>
    <w:rsid w:val="00FE78CA"/>
    <w:rsid w:val="00FF6060"/>
    <w:rsid w:val="0C304219"/>
    <w:rsid w:val="4CF34050"/>
    <w:rsid w:val="76BE4A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5C59"/>
  <w15:docId w15:val="{784BA77A-6920-42E6-83A5-5B7F90E3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pacing w:val="6"/>
    </w:rPr>
  </w:style>
  <w:style w:type="paragraph" w:styleId="Heading1">
    <w:name w:val="heading 1"/>
    <w:basedOn w:val="Normal"/>
    <w:next w:val="Normal"/>
    <w:uiPriority w:val="9"/>
    <w:qFormat/>
    <w:pPr>
      <w:keepNext/>
      <w:keepLines/>
      <w:spacing w:before="340" w:after="330" w:line="578" w:lineRule="auto"/>
      <w:outlineLvl w:val="0"/>
    </w:pPr>
    <w:rPr>
      <w:b/>
      <w:bCs/>
      <w:kern w:val="44"/>
      <w:sz w:val="26"/>
      <w:szCs w:val="44"/>
    </w:rPr>
  </w:style>
  <w:style w:type="paragraph" w:styleId="Heading2">
    <w:name w:val="heading 2"/>
    <w:basedOn w:val="Normal"/>
    <w:next w:val="Normal"/>
    <w:uiPriority w:val="9"/>
    <w:unhideWhenUsed/>
    <w:qFormat/>
    <w:pPr>
      <w:keepNext/>
      <w:keepLines/>
      <w:spacing w:before="260" w:after="260" w:line="416" w:lineRule="auto"/>
      <w:outlineLvl w:val="1"/>
    </w:pPr>
    <w:rPr>
      <w:b/>
      <w:bCs/>
      <w:i/>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semiHidden/>
    <w:unhideWhenUsed/>
  </w:style>
  <w:style w:type="paragraph" w:styleId="TOC2">
    <w:name w:val="toc 2"/>
    <w:basedOn w:val="Normal"/>
    <w:next w:val="Normal"/>
    <w:uiPriority w:val="39"/>
    <w:semiHidden/>
    <w:unhideWhenUsed/>
    <w:pPr>
      <w:ind w:leftChars="200" w:left="420"/>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59"/>
    <w:qFormat/>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qFormat/>
    <w:rPr>
      <w:sz w:val="20"/>
      <w:szCs w:val="20"/>
    </w:rPr>
  </w:style>
  <w:style w:type="character" w:customStyle="1" w:styleId="FooterChar">
    <w:name w:val="Footer Char"/>
    <w:basedOn w:val="DefaultParagraphFont"/>
    <w:link w:val="Footer"/>
    <w:uiPriority w:val="99"/>
    <w:qFormat/>
    <w:rPr>
      <w:sz w:val="20"/>
      <w:szCs w:val="20"/>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bng">
    <w:name w:val="bảng"/>
    <w:basedOn w:val="Normal"/>
    <w:pPr>
      <w:spacing w:before="160" w:after="160" w:line="360" w:lineRule="auto"/>
      <w:jc w:val="center"/>
    </w:pPr>
    <w:rPr>
      <w:rFonts w:eastAsia="Arial"/>
      <w:b/>
      <w:bCs/>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D9F9DF6-BBD5-43EA-8615-0128731257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3639</Words>
  <Characters>20745</Characters>
  <Application>Microsoft Office Word</Application>
  <DocSecurity>0</DocSecurity>
  <Lines>172</Lines>
  <Paragraphs>48</Paragraphs>
  <ScaleCrop>false</ScaleCrop>
  <Company>diathan.com</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Trieu Dinh Phuong</dc:creator>
  <cp:lastModifiedBy>Mỹ Anh Dương</cp:lastModifiedBy>
  <cp:revision>3</cp:revision>
  <dcterms:created xsi:type="dcterms:W3CDTF">2025-04-22T06:14:00Z</dcterms:created>
  <dcterms:modified xsi:type="dcterms:W3CDTF">2025-04-22T06:57:00Z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6AE908AFE9194A3086BD68A77D2C247E_12</vt:lpwstr>
  </property>
</Properties>
</file>