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B4F53" w14:textId="1BA84BDA" w:rsidR="00BD24FF" w:rsidRDefault="00372333" w:rsidP="008218C1">
      <w:pPr>
        <w:spacing w:before="120" w:after="0" w:line="312" w:lineRule="auto"/>
        <w:jc w:val="center"/>
        <w:rPr>
          <w:rFonts w:ascii="Times New Roman" w:hAnsi="Times New Roman" w:cs="Times New Roman"/>
          <w:b/>
          <w:bCs/>
          <w:sz w:val="24"/>
          <w:szCs w:val="24"/>
        </w:rPr>
      </w:pPr>
      <w:r>
        <w:rPr>
          <w:rFonts w:ascii="Times New Roman" w:hAnsi="Times New Roman" w:cs="Times New Roman"/>
          <w:b/>
          <w:bCs/>
          <w:sz w:val="24"/>
          <w:szCs w:val="24"/>
        </w:rPr>
        <w:t>BÌNH ĐẲNG GIỚI TRONG</w:t>
      </w:r>
      <w:r w:rsidR="00BD24FF">
        <w:rPr>
          <w:rFonts w:ascii="Times New Roman" w:hAnsi="Times New Roman" w:cs="Times New Roman"/>
          <w:b/>
          <w:bCs/>
          <w:sz w:val="24"/>
          <w:szCs w:val="24"/>
        </w:rPr>
        <w:t xml:space="preserve"> HỘI ĐỒNG QUẢN TRỊ </w:t>
      </w:r>
      <w:r>
        <w:rPr>
          <w:rFonts w:ascii="Times New Roman" w:hAnsi="Times New Roman" w:cs="Times New Roman"/>
          <w:b/>
          <w:bCs/>
          <w:sz w:val="24"/>
          <w:szCs w:val="24"/>
        </w:rPr>
        <w:t>VÀ</w:t>
      </w:r>
      <w:r w:rsidR="007B49BE">
        <w:rPr>
          <w:rFonts w:ascii="Times New Roman" w:hAnsi="Times New Roman" w:cs="Times New Roman"/>
          <w:b/>
          <w:bCs/>
          <w:sz w:val="24"/>
          <w:szCs w:val="24"/>
        </w:rPr>
        <w:t xml:space="preserve"> </w:t>
      </w:r>
      <w:r w:rsidR="00BD24FF">
        <w:rPr>
          <w:rFonts w:ascii="Times New Roman" w:hAnsi="Times New Roman" w:cs="Times New Roman"/>
          <w:b/>
          <w:bCs/>
          <w:sz w:val="24"/>
          <w:szCs w:val="24"/>
        </w:rPr>
        <w:t>HIỆU QUẢ CỦA NGÂN HÀNG THƯƠNG MẠI</w:t>
      </w:r>
    </w:p>
    <w:p w14:paraId="5F88D0E1" w14:textId="56C1C5A0" w:rsidR="008218C1" w:rsidRDefault="00BD24FF" w:rsidP="008218C1">
      <w:pPr>
        <w:spacing w:before="120" w:after="0" w:line="312"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Hoàng </w:t>
      </w:r>
      <w:proofErr w:type="spellStart"/>
      <w:r>
        <w:rPr>
          <w:rFonts w:ascii="Times New Roman" w:hAnsi="Times New Roman" w:cs="Times New Roman"/>
          <w:b/>
          <w:bCs/>
          <w:sz w:val="24"/>
          <w:szCs w:val="24"/>
        </w:rPr>
        <w:t>Thị</w:t>
      </w:r>
      <w:proofErr w:type="spellEnd"/>
      <w:r>
        <w:rPr>
          <w:rFonts w:ascii="Times New Roman" w:hAnsi="Times New Roman" w:cs="Times New Roman"/>
          <w:b/>
          <w:bCs/>
          <w:sz w:val="24"/>
          <w:szCs w:val="24"/>
        </w:rPr>
        <w:t xml:space="preserve"> Mai Anh</w:t>
      </w:r>
      <w:r w:rsidR="008218C1">
        <w:rPr>
          <w:rFonts w:ascii="Times New Roman" w:hAnsi="Times New Roman" w:cs="Times New Roman"/>
          <w:b/>
          <w:bCs/>
          <w:sz w:val="24"/>
          <w:szCs w:val="24"/>
        </w:rPr>
        <w:t xml:space="preserve">, </w:t>
      </w:r>
      <w:proofErr w:type="spellStart"/>
      <w:r w:rsidR="008218C1">
        <w:rPr>
          <w:rFonts w:ascii="Times New Roman" w:hAnsi="Times New Roman" w:cs="Times New Roman"/>
          <w:b/>
          <w:bCs/>
          <w:sz w:val="24"/>
          <w:szCs w:val="24"/>
        </w:rPr>
        <w:t>Trần</w:t>
      </w:r>
      <w:proofErr w:type="spellEnd"/>
      <w:r w:rsidR="008218C1">
        <w:rPr>
          <w:rFonts w:ascii="Times New Roman" w:hAnsi="Times New Roman" w:cs="Times New Roman"/>
          <w:b/>
          <w:bCs/>
          <w:sz w:val="24"/>
          <w:szCs w:val="24"/>
        </w:rPr>
        <w:t xml:space="preserve"> </w:t>
      </w:r>
      <w:proofErr w:type="spellStart"/>
      <w:r w:rsidR="008218C1">
        <w:rPr>
          <w:rFonts w:ascii="Times New Roman" w:hAnsi="Times New Roman" w:cs="Times New Roman"/>
          <w:b/>
          <w:bCs/>
          <w:sz w:val="24"/>
          <w:szCs w:val="24"/>
        </w:rPr>
        <w:t>Trà</w:t>
      </w:r>
      <w:proofErr w:type="spellEnd"/>
      <w:r w:rsidR="008218C1">
        <w:rPr>
          <w:rFonts w:ascii="Times New Roman" w:hAnsi="Times New Roman" w:cs="Times New Roman"/>
          <w:b/>
          <w:bCs/>
          <w:sz w:val="24"/>
          <w:szCs w:val="24"/>
        </w:rPr>
        <w:t xml:space="preserve"> My</w:t>
      </w:r>
    </w:p>
    <w:p w14:paraId="12E9C242" w14:textId="506576BB" w:rsidR="00BD24FF" w:rsidRDefault="00BD24FF" w:rsidP="008218C1">
      <w:pPr>
        <w:spacing w:before="120" w:after="0" w:line="312" w:lineRule="auto"/>
        <w:jc w:val="right"/>
        <w:rPr>
          <w:rFonts w:ascii="Times New Roman" w:hAnsi="Times New Roman" w:cs="Times New Roman"/>
          <w:sz w:val="24"/>
          <w:szCs w:val="24"/>
        </w:rPr>
      </w:pPr>
      <w:r>
        <w:rPr>
          <w:rFonts w:ascii="Times New Roman" w:hAnsi="Times New Roman" w:cs="Times New Roman"/>
          <w:sz w:val="24"/>
          <w:szCs w:val="24"/>
        </w:rPr>
        <w:t xml:space="preserve">Khoa </w:t>
      </w:r>
      <w:proofErr w:type="spellStart"/>
      <w:r>
        <w:rPr>
          <w:rFonts w:ascii="Times New Roman" w:hAnsi="Times New Roman" w:cs="Times New Roman"/>
          <w:sz w:val="24"/>
          <w:szCs w:val="24"/>
        </w:rPr>
        <w:t>Kinh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và</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Quản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Đại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học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Thủy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Lợi</w:t>
      </w:r>
      <w:proofErr w:type="spellEnd"/>
    </w:p>
    <w:p w14:paraId="55D29C67" w14:textId="65485CAD" w:rsidR="00224961" w:rsidRDefault="00BD24FF" w:rsidP="00372333">
      <w:pPr>
        <w:spacing w:before="120" w:after="0" w:line="312" w:lineRule="auto"/>
        <w:jc w:val="right"/>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Pr="00405B79">
          <w:rPr>
            <w:rStyle w:val="Hyperlink"/>
            <w:rFonts w:ascii="Times New Roman" w:hAnsi="Times New Roman" w:cs="Times New Roman"/>
            <w:sz w:val="24"/>
            <w:szCs w:val="24"/>
          </w:rPr>
          <w:t>anhhtm@tlu.edu.vn</w:t>
        </w:r>
      </w:hyperlink>
    </w:p>
    <w:p w14:paraId="0C9B2924" w14:textId="77777777" w:rsidR="00372333" w:rsidRPr="00372333" w:rsidRDefault="00372333" w:rsidP="00372333">
      <w:pPr>
        <w:spacing w:before="120" w:after="0" w:line="312" w:lineRule="auto"/>
        <w:jc w:val="both"/>
        <w:rPr>
          <w:rFonts w:ascii="Times New Roman" w:hAnsi="Times New Roman" w:cs="Times New Roman"/>
          <w:b/>
          <w:bCs/>
          <w:sz w:val="24"/>
          <w:szCs w:val="24"/>
          <w:lang w:val="vi-VN"/>
        </w:rPr>
      </w:pPr>
      <w:r w:rsidRPr="00372333">
        <w:rPr>
          <w:rFonts w:ascii="Times New Roman" w:hAnsi="Times New Roman" w:cs="Times New Roman"/>
          <w:b/>
          <w:bCs/>
          <w:sz w:val="24"/>
          <w:szCs w:val="24"/>
          <w:lang w:val="vi-VN"/>
        </w:rPr>
        <w:t>TÓM TẮT</w:t>
      </w:r>
    </w:p>
    <w:p w14:paraId="37860D24" w14:textId="77777777" w:rsidR="00372333" w:rsidRPr="00BD24FF" w:rsidRDefault="00372333" w:rsidP="00372333">
      <w:pPr>
        <w:spacing w:before="120" w:after="0" w:line="312" w:lineRule="auto"/>
        <w:ind w:firstLine="720"/>
        <w:jc w:val="both"/>
        <w:rPr>
          <w:rFonts w:ascii="Times New Roman" w:hAnsi="Times New Roman" w:cs="Times New Roman"/>
          <w:sz w:val="24"/>
          <w:szCs w:val="24"/>
          <w:lang w:val="vi-VN"/>
        </w:rPr>
      </w:pPr>
      <w:r w:rsidRPr="00372333">
        <w:rPr>
          <w:rFonts w:ascii="Times New Roman" w:hAnsi="Times New Roman" w:cs="Times New Roman"/>
          <w:sz w:val="24"/>
          <w:szCs w:val="24"/>
          <w:lang w:val="vi-VN"/>
        </w:rPr>
        <w:t xml:space="preserve">Trong những năm gần đây, vai trò của bình đẳng giới tính trong hội đồng quản trị (HĐQT) đối với các hoạt động của ngân hàng (bao gồm mức độ rủi ro, kết quả kinh doanh…) ngày càng được quan tâm và trở thành chủ đề nghiên cứu của nhiều học giả. Bài nghiên cứu này phân tích tác động của bình đẳng giới trong HĐQT đối với hiệu quả của ngân hàng (bank efficiency), một khía cạnh quan trọng trong hoạt động của ngân hàng nhưng chưa được đề cập trong các nghiên cứu trước đây. Tác giả đã sử dụng phương pháp phân tích biên ngẫu nhiên (SFA) và bộ dữ liệu thứ cấp của 485 ngân hàng từ 39 quốc gia trong giai đoạn 2004-2018 để đánh giá tác động của bình đẳng giới trong HĐQT đối với hiệu quả ngân hàng. Kết quả ước lượng cho thấy cả hiệu quả lợi nhuận (profit efficiency) và hiệu quả chi phí (cost efficiency) đều có mối quan hệ cùng chiều với bình đẳng giới HĐQT. Tuy nhiên, tác động tích cực của sự bình đẳng giới trong HĐQT đối với hiệu quả của ngân hàng giảm đáng kể ở các quốc gia có định kiến đối với nữ giới. </w:t>
      </w:r>
    </w:p>
    <w:p w14:paraId="6D5C5862" w14:textId="6662809F" w:rsidR="00224961" w:rsidRPr="00372333" w:rsidRDefault="00372333" w:rsidP="00372333">
      <w:pPr>
        <w:spacing w:before="120" w:after="0" w:line="312" w:lineRule="auto"/>
        <w:ind w:firstLine="720"/>
        <w:jc w:val="both"/>
        <w:rPr>
          <w:rFonts w:ascii="Times New Roman" w:hAnsi="Times New Roman" w:cs="Times New Roman"/>
          <w:i/>
          <w:iCs/>
          <w:sz w:val="24"/>
          <w:szCs w:val="24"/>
          <w:lang w:val="vi-VN"/>
        </w:rPr>
      </w:pPr>
      <w:r w:rsidRPr="00E20254">
        <w:rPr>
          <w:rFonts w:ascii="Times New Roman" w:hAnsi="Times New Roman" w:cs="Times New Roman"/>
          <w:b/>
          <w:bCs/>
          <w:i/>
          <w:iCs/>
          <w:sz w:val="24"/>
          <w:szCs w:val="24"/>
          <w:lang w:val="vi-VN"/>
        </w:rPr>
        <w:t>Từ khóa:</w:t>
      </w:r>
      <w:r w:rsidRPr="00593435">
        <w:rPr>
          <w:rFonts w:ascii="Times New Roman" w:hAnsi="Times New Roman" w:cs="Times New Roman"/>
          <w:sz w:val="24"/>
          <w:szCs w:val="24"/>
          <w:lang w:val="vi-VN"/>
        </w:rPr>
        <w:t xml:space="preserve"> </w:t>
      </w:r>
      <w:r w:rsidRPr="00E20254">
        <w:rPr>
          <w:rFonts w:ascii="Times New Roman" w:hAnsi="Times New Roman" w:cs="Times New Roman"/>
          <w:i/>
          <w:iCs/>
          <w:sz w:val="24"/>
          <w:szCs w:val="24"/>
          <w:lang w:val="vi-VN"/>
        </w:rPr>
        <w:t>bình đẳng giới; hiệu quả ngân hàng; hiệu quả lợi nhuận; hiệu quả chi phí; SFA</w:t>
      </w:r>
    </w:p>
    <w:p w14:paraId="1EE18924" w14:textId="4689521C" w:rsidR="00D828BE" w:rsidRPr="00593435" w:rsidRDefault="00E11612" w:rsidP="008218C1">
      <w:pPr>
        <w:pStyle w:val="ListParagraph"/>
        <w:numPr>
          <w:ilvl w:val="0"/>
          <w:numId w:val="1"/>
        </w:numPr>
        <w:spacing w:before="120" w:after="0" w:line="312" w:lineRule="auto"/>
        <w:ind w:left="0" w:firstLine="0"/>
        <w:contextualSpacing w:val="0"/>
        <w:jc w:val="both"/>
        <w:rPr>
          <w:rFonts w:ascii="Times New Roman" w:hAnsi="Times New Roman" w:cs="Times New Roman"/>
          <w:b/>
          <w:bCs/>
          <w:sz w:val="24"/>
          <w:szCs w:val="24"/>
        </w:rPr>
      </w:pPr>
      <w:r>
        <w:rPr>
          <w:rFonts w:ascii="Times New Roman" w:hAnsi="Times New Roman" w:cs="Times New Roman"/>
          <w:b/>
          <w:bCs/>
          <w:sz w:val="24"/>
          <w:szCs w:val="24"/>
        </w:rPr>
        <w:t>GIỚI THIỆU</w:t>
      </w:r>
    </w:p>
    <w:p w14:paraId="4D56EC8A" w14:textId="5D2F8D46" w:rsidR="008744D2" w:rsidRDefault="008744D2" w:rsidP="008218C1">
      <w:pPr>
        <w:spacing w:before="120" w:after="0" w:line="312" w:lineRule="auto"/>
        <w:ind w:firstLine="720"/>
        <w:jc w:val="both"/>
        <w:rPr>
          <w:rFonts w:ascii="Times New Roman" w:hAnsi="Times New Roman" w:cs="Times New Roman"/>
          <w:sz w:val="24"/>
          <w:szCs w:val="24"/>
        </w:rPr>
      </w:pPr>
      <w:proofErr w:type="spellStart"/>
      <w:r w:rsidRPr="00593435">
        <w:rPr>
          <w:rFonts w:ascii="Times New Roman" w:hAnsi="Times New Roman" w:cs="Times New Roman"/>
          <w:sz w:val="24"/>
          <w:szCs w:val="24"/>
        </w:rPr>
        <w:t>Từ</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sau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cuộc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khủng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hoảng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tài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chính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toàn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cầu</w:t>
      </w:r>
      <w:proofErr w:type="spellEnd"/>
      <w:r w:rsidRPr="00593435">
        <w:rPr>
          <w:rFonts w:ascii="Times New Roman" w:hAnsi="Times New Roman" w:cs="Times New Roman"/>
          <w:sz w:val="24"/>
          <w:szCs w:val="24"/>
        </w:rPr>
        <w:t xml:space="preserve"> 2008, </w:t>
      </w:r>
      <w:proofErr w:type="spellStart"/>
      <w:r w:rsidRPr="00593435">
        <w:rPr>
          <w:rFonts w:ascii="Times New Roman" w:hAnsi="Times New Roman" w:cs="Times New Roman"/>
          <w:sz w:val="24"/>
          <w:szCs w:val="24"/>
        </w:rPr>
        <w:t>một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trong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những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vấn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đề</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quản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trị</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công</w:t>
      </w:r>
      <w:proofErr w:type="spellEnd"/>
      <w:r w:rsidRPr="00593435">
        <w:rPr>
          <w:rFonts w:ascii="Times New Roman" w:hAnsi="Times New Roman" w:cs="Times New Roman"/>
          <w:sz w:val="24"/>
          <w:szCs w:val="24"/>
        </w:rPr>
        <w:t xml:space="preserve"> ty </w:t>
      </w:r>
      <w:proofErr w:type="spellStart"/>
      <w:r w:rsidRPr="00593435">
        <w:rPr>
          <w:rFonts w:ascii="Times New Roman" w:hAnsi="Times New Roman" w:cs="Times New Roman"/>
          <w:sz w:val="24"/>
          <w:szCs w:val="24"/>
        </w:rPr>
        <w:t>thu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hút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nhiều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sự</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chú</w:t>
      </w:r>
      <w:proofErr w:type="spellEnd"/>
      <w:r w:rsidRPr="00593435">
        <w:rPr>
          <w:rFonts w:ascii="Times New Roman" w:hAnsi="Times New Roman" w:cs="Times New Roman"/>
          <w:sz w:val="24"/>
          <w:szCs w:val="24"/>
        </w:rPr>
        <w:t xml:space="preserve"> ý </w:t>
      </w:r>
      <w:proofErr w:type="spellStart"/>
      <w:r w:rsidRPr="00593435">
        <w:rPr>
          <w:rFonts w:ascii="Times New Roman" w:hAnsi="Times New Roman" w:cs="Times New Roman"/>
          <w:sz w:val="24"/>
          <w:szCs w:val="24"/>
        </w:rPr>
        <w:t>của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nhà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hoạch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định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chính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sách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vấn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đề</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bình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đẳng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giới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trong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Hội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đồng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quản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trị</w:t>
      </w:r>
      <w:proofErr w:type="spellEnd"/>
      <w:r w:rsidR="004F70F8" w:rsidRPr="00593435">
        <w:rPr>
          <w:rFonts w:ascii="Times New Roman" w:hAnsi="Times New Roman" w:cs="Times New Roman"/>
          <w:sz w:val="24"/>
          <w:szCs w:val="24"/>
        </w:rPr>
        <w:t xml:space="preserve"> (HĐQT)</w:t>
      </w:r>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Việc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có</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quá</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ít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nữ</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thành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viên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trong</w:t>
      </w:r>
      <w:proofErr w:type="spellEnd"/>
      <w:r w:rsidRPr="00593435">
        <w:rPr>
          <w:rFonts w:ascii="Times New Roman" w:hAnsi="Times New Roman" w:cs="Times New Roman"/>
          <w:sz w:val="24"/>
          <w:szCs w:val="24"/>
        </w:rPr>
        <w:t xml:space="preserve"> HĐQT </w:t>
      </w:r>
      <w:proofErr w:type="spellStart"/>
      <w:r w:rsidRPr="00593435">
        <w:rPr>
          <w:rFonts w:ascii="Times New Roman" w:hAnsi="Times New Roman" w:cs="Times New Roman"/>
          <w:sz w:val="24"/>
          <w:szCs w:val="24"/>
        </w:rPr>
        <w:t>của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ngân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w:t>
      </w:r>
      <w:r w:rsidR="004F70F8" w:rsidRPr="00593435">
        <w:rPr>
          <w:rFonts w:ascii="Times New Roman" w:hAnsi="Times New Roman" w:cs="Times New Roman"/>
          <w:sz w:val="24"/>
          <w:szCs w:val="24"/>
        </w:rPr>
        <w:t>à</w:t>
      </w:r>
      <w:r w:rsidRPr="00593435">
        <w:rPr>
          <w:rFonts w:ascii="Times New Roman" w:hAnsi="Times New Roman" w:cs="Times New Roman"/>
          <w:sz w:val="24"/>
          <w:szCs w:val="24"/>
        </w:rPr>
        <w:t>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thời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điểm</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đó</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được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một</w:t>
      </w:r>
      <w:proofErr w:type="spellEnd"/>
      <w:r w:rsidR="00530F24" w:rsidRPr="00593435">
        <w:rPr>
          <w:rFonts w:ascii="Times New Roman" w:hAnsi="Times New Roman" w:cs="Times New Roman"/>
          <w:sz w:val="24"/>
          <w:szCs w:val="24"/>
        </w:rPr>
        <w:t xml:space="preserve"> </w:t>
      </w:r>
      <w:proofErr w:type="spellStart"/>
      <w:r w:rsidR="00530F24" w:rsidRPr="00593435">
        <w:rPr>
          <w:rFonts w:ascii="Times New Roman" w:hAnsi="Times New Roman" w:cs="Times New Roman"/>
          <w:sz w:val="24"/>
          <w:szCs w:val="24"/>
        </w:rPr>
        <w:t>trong</w:t>
      </w:r>
      <w:proofErr w:type="spellEnd"/>
      <w:r w:rsidR="00530F24" w:rsidRPr="00593435">
        <w:rPr>
          <w:rFonts w:ascii="Times New Roman" w:hAnsi="Times New Roman" w:cs="Times New Roman"/>
          <w:sz w:val="24"/>
          <w:szCs w:val="24"/>
        </w:rPr>
        <w:t xml:space="preserve"> </w:t>
      </w:r>
      <w:proofErr w:type="spellStart"/>
      <w:r w:rsidR="00530F24" w:rsidRPr="00593435">
        <w:rPr>
          <w:rFonts w:ascii="Times New Roman" w:hAnsi="Times New Roman" w:cs="Times New Roman"/>
          <w:sz w:val="24"/>
          <w:szCs w:val="24"/>
        </w:rPr>
        <w:t>những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nguyên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nhân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dẫn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đến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việc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ngân</w:t>
      </w:r>
      <w:proofErr w:type="spellEnd"/>
      <w:r w:rsidRPr="00593435">
        <w:rPr>
          <w:rFonts w:ascii="Times New Roman" w:hAnsi="Times New Roman" w:cs="Times New Roman"/>
          <w:sz w:val="24"/>
          <w:szCs w:val="24"/>
        </w:rPr>
        <w:t xml:space="preserve"> </w:t>
      </w:r>
      <w:proofErr w:type="spellStart"/>
      <w:r w:rsidR="004F70F8" w:rsidRPr="00593435">
        <w:rPr>
          <w:rFonts w:ascii="Times New Roman" w:hAnsi="Times New Roman" w:cs="Times New Roman"/>
          <w:sz w:val="24"/>
          <w:szCs w:val="24"/>
        </w:rPr>
        <w:t>hàng</w:t>
      </w:r>
      <w:proofErr w:type="spellEnd"/>
      <w:r w:rsidR="004F70F8"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w:t>
      </w:r>
      <w:r w:rsidR="004F70F8" w:rsidRPr="00593435">
        <w:rPr>
          <w:rFonts w:ascii="Times New Roman" w:hAnsi="Times New Roman" w:cs="Times New Roman"/>
          <w:sz w:val="24"/>
          <w:szCs w:val="24"/>
        </w:rPr>
        <w:t>ă</w:t>
      </w:r>
      <w:r w:rsidRPr="00593435">
        <w:rPr>
          <w:rFonts w:ascii="Times New Roman" w:hAnsi="Times New Roman" w:cs="Times New Roman"/>
          <w:sz w:val="24"/>
          <w:szCs w:val="24"/>
        </w:rPr>
        <w:t>ng</w:t>
      </w:r>
      <w:proofErr w:type="spellEnd"/>
      <w:r w:rsidRPr="00593435">
        <w:rPr>
          <w:rFonts w:ascii="Times New Roman" w:hAnsi="Times New Roman" w:cs="Times New Roman"/>
          <w:sz w:val="24"/>
          <w:szCs w:val="24"/>
        </w:rPr>
        <w:t xml:space="preserve"> </w:t>
      </w:r>
      <w:proofErr w:type="spellStart"/>
      <w:r w:rsidR="004F70F8" w:rsidRPr="00593435">
        <w:rPr>
          <w:rFonts w:ascii="Times New Roman" w:hAnsi="Times New Roman" w:cs="Times New Roman"/>
          <w:sz w:val="24"/>
          <w:szCs w:val="24"/>
        </w:rPr>
        <w:t>các</w:t>
      </w:r>
      <w:proofErr w:type="spellEnd"/>
      <w:r w:rsidR="004F70F8" w:rsidRPr="00593435">
        <w:rPr>
          <w:rFonts w:ascii="Times New Roman" w:hAnsi="Times New Roman" w:cs="Times New Roman"/>
          <w:sz w:val="24"/>
          <w:szCs w:val="24"/>
        </w:rPr>
        <w:t xml:space="preserve"> </w:t>
      </w:r>
      <w:proofErr w:type="spellStart"/>
      <w:r w:rsidR="004F70F8" w:rsidRPr="00593435">
        <w:rPr>
          <w:rFonts w:ascii="Times New Roman" w:hAnsi="Times New Roman" w:cs="Times New Roman"/>
          <w:sz w:val="24"/>
          <w:szCs w:val="24"/>
        </w:rPr>
        <w:t>khoản</w:t>
      </w:r>
      <w:proofErr w:type="spellEnd"/>
      <w:r w:rsidR="004F70F8" w:rsidRPr="00593435">
        <w:rPr>
          <w:rFonts w:ascii="Times New Roman" w:hAnsi="Times New Roman" w:cs="Times New Roman"/>
          <w:sz w:val="24"/>
          <w:szCs w:val="24"/>
        </w:rPr>
        <w:t xml:space="preserve"> </w:t>
      </w:r>
      <w:proofErr w:type="spellStart"/>
      <w:r w:rsidR="004F70F8" w:rsidRPr="00593435">
        <w:rPr>
          <w:rFonts w:ascii="Times New Roman" w:hAnsi="Times New Roman" w:cs="Times New Roman"/>
          <w:sz w:val="24"/>
          <w:szCs w:val="24"/>
        </w:rPr>
        <w:t>cho</w:t>
      </w:r>
      <w:proofErr w:type="spellEnd"/>
      <w:r w:rsidR="004F70F8" w:rsidRPr="00593435">
        <w:rPr>
          <w:rFonts w:ascii="Times New Roman" w:hAnsi="Times New Roman" w:cs="Times New Roman"/>
          <w:sz w:val="24"/>
          <w:szCs w:val="24"/>
        </w:rPr>
        <w:t xml:space="preserve"> </w:t>
      </w:r>
      <w:proofErr w:type="spellStart"/>
      <w:r w:rsidR="004F70F8" w:rsidRPr="00593435">
        <w:rPr>
          <w:rFonts w:ascii="Times New Roman" w:hAnsi="Times New Roman" w:cs="Times New Roman"/>
          <w:sz w:val="24"/>
          <w:szCs w:val="24"/>
        </w:rPr>
        <w:t>vay</w:t>
      </w:r>
      <w:proofErr w:type="spellEnd"/>
      <w:r w:rsidR="004F70F8" w:rsidRPr="00593435">
        <w:rPr>
          <w:rFonts w:ascii="Times New Roman" w:hAnsi="Times New Roman" w:cs="Times New Roman"/>
          <w:sz w:val="24"/>
          <w:szCs w:val="24"/>
        </w:rPr>
        <w:t xml:space="preserve"> </w:t>
      </w:r>
      <w:proofErr w:type="spellStart"/>
      <w:r w:rsidR="004F70F8" w:rsidRPr="00593435">
        <w:rPr>
          <w:rFonts w:ascii="Times New Roman" w:hAnsi="Times New Roman" w:cs="Times New Roman"/>
          <w:sz w:val="24"/>
          <w:szCs w:val="24"/>
        </w:rPr>
        <w:t>dưới</w:t>
      </w:r>
      <w:proofErr w:type="spellEnd"/>
      <w:r w:rsidR="004F70F8" w:rsidRPr="00593435">
        <w:rPr>
          <w:rFonts w:ascii="Times New Roman" w:hAnsi="Times New Roman" w:cs="Times New Roman"/>
          <w:sz w:val="24"/>
          <w:szCs w:val="24"/>
        </w:rPr>
        <w:t xml:space="preserve"> </w:t>
      </w:r>
      <w:proofErr w:type="spellStart"/>
      <w:r w:rsidR="004F70F8" w:rsidRPr="00593435">
        <w:rPr>
          <w:rFonts w:ascii="Times New Roman" w:hAnsi="Times New Roman" w:cs="Times New Roman"/>
          <w:sz w:val="24"/>
          <w:szCs w:val="24"/>
        </w:rPr>
        <w:t>chuẩn</w:t>
      </w:r>
      <w:proofErr w:type="spellEnd"/>
      <w:r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Đồng</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thời</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một</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số</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nghiên</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cứu</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trước</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đây</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cũng</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chỉ</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ra</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rằng</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việc</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tăng</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tỉ</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lệ</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nữ</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thành</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viên</w:t>
      </w:r>
      <w:proofErr w:type="spellEnd"/>
      <w:r w:rsidR="0078559F" w:rsidRPr="00593435">
        <w:rPr>
          <w:rFonts w:ascii="Times New Roman" w:hAnsi="Times New Roman" w:cs="Times New Roman"/>
          <w:sz w:val="24"/>
          <w:szCs w:val="24"/>
        </w:rPr>
        <w:t xml:space="preserve"> HĐQT </w:t>
      </w:r>
      <w:proofErr w:type="spellStart"/>
      <w:r w:rsidR="0078559F" w:rsidRPr="00593435">
        <w:rPr>
          <w:rFonts w:ascii="Times New Roman" w:hAnsi="Times New Roman" w:cs="Times New Roman"/>
          <w:sz w:val="24"/>
          <w:szCs w:val="24"/>
        </w:rPr>
        <w:t>sẽ</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giúp</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doanh</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nghiệp</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cải</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thiện</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kết</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quả</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kinh</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doanh</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Vấn</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đề</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bình</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đẳng</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giới</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trong</w:t>
      </w:r>
      <w:proofErr w:type="spellEnd"/>
      <w:r w:rsidR="0078559F" w:rsidRPr="00593435">
        <w:rPr>
          <w:rFonts w:ascii="Times New Roman" w:hAnsi="Times New Roman" w:cs="Times New Roman"/>
          <w:sz w:val="24"/>
          <w:szCs w:val="24"/>
        </w:rPr>
        <w:t xml:space="preserve"> HĐQT </w:t>
      </w:r>
      <w:proofErr w:type="spellStart"/>
      <w:r w:rsidR="0078559F" w:rsidRPr="00593435">
        <w:rPr>
          <w:rFonts w:ascii="Times New Roman" w:hAnsi="Times New Roman" w:cs="Times New Roman"/>
          <w:sz w:val="24"/>
          <w:szCs w:val="24"/>
        </w:rPr>
        <w:t>cũng</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đã</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trở</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thành</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đề</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tài</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nghiên</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cứu</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của</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nhiều</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học</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giả</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với</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các</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cách</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tiếp</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cận</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khác</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nhau</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về</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ảnh</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hưởng</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của</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nó</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đối</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với</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rủi</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ro</w:t>
      </w:r>
      <w:proofErr w:type="spellEnd"/>
      <w:r w:rsidR="0078559F" w:rsidRPr="00593435">
        <w:rPr>
          <w:rFonts w:ascii="Times New Roman" w:hAnsi="Times New Roman" w:cs="Times New Roman"/>
          <w:sz w:val="24"/>
          <w:szCs w:val="24"/>
        </w:rPr>
        <w:t xml:space="preserve"> (</w:t>
      </w:r>
      <w:r w:rsidR="004F70F8" w:rsidRPr="00593435">
        <w:rPr>
          <w:rFonts w:ascii="Times New Roman" w:hAnsi="Times New Roman" w:cs="Times New Roman"/>
          <w:sz w:val="24"/>
          <w:szCs w:val="24"/>
        </w:rPr>
        <w:fldChar w:fldCharType="begin">
          <w:fldData xml:space="preserve">PEVuZE5vdGU+PENpdGU+PEF1dGhvcj5BZGFtczwvQXV0aG9yPjxZZWFyPjIwMTc8L1llYXI+PFJl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</w:fldData>
        </w:fldChar>
      </w:r>
      <w:r w:rsidR="004F70F8" w:rsidRPr="00593435">
        <w:rPr>
          <w:rFonts w:ascii="Times New Roman" w:hAnsi="Times New Roman" w:cs="Times New Roman"/>
          <w:sz w:val="24"/>
          <w:szCs w:val="24"/>
        </w:rPr>
        <w:instrText xml:space="preserve"> ADDIN EN.CITE </w:instrText>
      </w:r>
      <w:r w:rsidR="004F70F8" w:rsidRPr="00593435">
        <w:rPr>
          <w:rFonts w:ascii="Times New Roman" w:hAnsi="Times New Roman" w:cs="Times New Roman"/>
          <w:sz w:val="24"/>
          <w:szCs w:val="24"/>
        </w:rPr>
        <w:fldChar w:fldCharType="begin">
          <w:fldData xml:space="preserve">PEVuZE5vdGU+PENpdGU+PEF1dGhvcj5BZGFtczwvQXV0aG9yPjxZZWFyPjIwMTc8L1llYXI+PFJl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</w:fldData>
        </w:fldChar>
      </w:r>
      <w:r w:rsidR="004F70F8" w:rsidRPr="00593435">
        <w:rPr>
          <w:rFonts w:ascii="Times New Roman" w:hAnsi="Times New Roman" w:cs="Times New Roman"/>
          <w:sz w:val="24"/>
          <w:szCs w:val="24"/>
        </w:rPr>
        <w:instrText xml:space="preserve"> ADDIN EN.CITE.DATA </w:instrText>
      </w:r>
      <w:r w:rsidR="004F70F8" w:rsidRPr="00593435">
        <w:rPr>
          <w:rFonts w:ascii="Times New Roman" w:hAnsi="Times New Roman" w:cs="Times New Roman"/>
          <w:sz w:val="24"/>
          <w:szCs w:val="24"/>
        </w:rPr>
      </w:r>
      <w:r w:rsidR="004F70F8" w:rsidRPr="00593435">
        <w:rPr>
          <w:rFonts w:ascii="Times New Roman" w:hAnsi="Times New Roman" w:cs="Times New Roman"/>
          <w:sz w:val="24"/>
          <w:szCs w:val="24"/>
        </w:rPr>
        <w:fldChar w:fldCharType="end"/>
      </w:r>
      <w:r w:rsidR="004F70F8" w:rsidRPr="00593435">
        <w:rPr>
          <w:rFonts w:ascii="Times New Roman" w:hAnsi="Times New Roman" w:cs="Times New Roman"/>
          <w:sz w:val="24"/>
          <w:szCs w:val="24"/>
        </w:rPr>
      </w:r>
      <w:r w:rsidR="004F70F8" w:rsidRPr="00593435">
        <w:rPr>
          <w:rFonts w:ascii="Times New Roman" w:hAnsi="Times New Roman" w:cs="Times New Roman"/>
          <w:sz w:val="24"/>
          <w:szCs w:val="24"/>
        </w:rPr>
        <w:fldChar w:fldCharType="separate"/>
      </w:r>
      <w:r w:rsidR="004F70F8" w:rsidRPr="00593435">
        <w:rPr>
          <w:rFonts w:ascii="Times New Roman" w:hAnsi="Times New Roman" w:cs="Times New Roman"/>
          <w:noProof/>
          <w:sz w:val="24"/>
          <w:szCs w:val="24"/>
        </w:rPr>
        <w:t>Adams &amp; Ragunathan, 2017; Berger và cộng sự, 2014; Prete &amp; Stefani, 2015)</w:t>
      </w:r>
      <w:r w:rsidR="004F70F8" w:rsidRPr="00593435">
        <w:rPr>
          <w:rFonts w:ascii="Times New Roman" w:hAnsi="Times New Roman" w:cs="Times New Roman"/>
          <w:sz w:val="24"/>
          <w:szCs w:val="24"/>
        </w:rPr>
        <w:fldChar w:fldCharType="end"/>
      </w:r>
      <w:r w:rsidR="0078559F" w:rsidRPr="00593435">
        <w:rPr>
          <w:rFonts w:ascii="Times New Roman" w:hAnsi="Times New Roman" w:cs="Times New Roman"/>
          <w:sz w:val="24"/>
          <w:szCs w:val="24"/>
        </w:rPr>
        <w:t xml:space="preserve">, </w:t>
      </w:r>
      <w:r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kết</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quả</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kinh</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doanh</w:t>
      </w:r>
      <w:proofErr w:type="spellEnd"/>
      <w:r w:rsidR="0078559F" w:rsidRPr="00593435">
        <w:rPr>
          <w:rFonts w:ascii="Times New Roman" w:hAnsi="Times New Roman" w:cs="Times New Roman"/>
          <w:sz w:val="24"/>
          <w:szCs w:val="24"/>
        </w:rPr>
        <w:t xml:space="preserve"> </w:t>
      </w:r>
      <w:r w:rsidR="00530F24" w:rsidRPr="00593435">
        <w:rPr>
          <w:rFonts w:ascii="Times New Roman" w:hAnsi="Times New Roman" w:cs="Times New Roman"/>
          <w:sz w:val="24"/>
          <w:szCs w:val="24"/>
        </w:rPr>
        <w:t>(</w:t>
      </w:r>
      <w:r w:rsidR="004F70F8" w:rsidRPr="00593435">
        <w:rPr>
          <w:rFonts w:ascii="Times New Roman" w:hAnsi="Times New Roman" w:cs="Times New Roman"/>
          <w:noProof/>
          <w:sz w:val="24"/>
          <w:szCs w:val="24"/>
        </w:rPr>
        <w:t>García-</w:t>
      </w:r>
      <w:proofErr w:type="spellStart"/>
      <w:r w:rsidR="004F70F8" w:rsidRPr="00593435">
        <w:rPr>
          <w:rFonts w:ascii="Times New Roman" w:hAnsi="Times New Roman" w:cs="Times New Roman"/>
          <w:noProof/>
          <w:sz w:val="24"/>
          <w:szCs w:val="24"/>
        </w:rPr>
        <w:t>Meca</w:t>
      </w:r>
      <w:proofErr w:type="spellEnd"/>
      <w:r w:rsidR="004F70F8" w:rsidRPr="00593435">
        <w:rPr>
          <w:rFonts w:ascii="Times New Roman" w:hAnsi="Times New Roman" w:cs="Times New Roman"/>
          <w:noProof/>
          <w:sz w:val="24"/>
          <w:szCs w:val="24"/>
        </w:rPr>
        <w:t xml:space="preserve"> </w:t>
      </w:r>
      <w:r w:rsidR="00BB060B" w:rsidRPr="00593435">
        <w:rPr>
          <w:rFonts w:ascii="Times New Roman" w:hAnsi="Times New Roman" w:cs="Times New Roman"/>
          <w:noProof/>
          <w:sz w:val="24"/>
          <w:szCs w:val="24"/>
        </w:rPr>
        <w:t>và cộng sự</w:t>
      </w:r>
      <w:r w:rsidR="004F70F8" w:rsidRPr="00593435">
        <w:rPr>
          <w:rFonts w:ascii="Times New Roman" w:hAnsi="Times New Roman" w:cs="Times New Roman"/>
          <w:noProof/>
          <w:sz w:val="24"/>
          <w:szCs w:val="24"/>
        </w:rPr>
        <w:t>, 2015; Owen &amp; Temesvary, 2018; Pathan &amp; Faff, 2013</w:t>
      </w:r>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quản</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trị</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lợi</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nhuận</w:t>
      </w:r>
      <w:proofErr w:type="spellEnd"/>
      <w:r w:rsidR="004F70F8" w:rsidRPr="00593435">
        <w:rPr>
          <w:rFonts w:ascii="Times New Roman" w:hAnsi="Times New Roman" w:cs="Times New Roman"/>
          <w:sz w:val="24"/>
          <w:szCs w:val="24"/>
        </w:rPr>
        <w:t xml:space="preserve"> (</w:t>
      </w:r>
      <w:r w:rsidR="004F70F8" w:rsidRPr="00593435">
        <w:rPr>
          <w:rFonts w:ascii="Times New Roman" w:hAnsi="Times New Roman" w:cs="Times New Roman"/>
          <w:noProof/>
          <w:sz w:val="24"/>
          <w:szCs w:val="24"/>
        </w:rPr>
        <w:t xml:space="preserve">Fan </w:t>
      </w:r>
      <w:r w:rsidR="00BB060B" w:rsidRPr="00593435">
        <w:rPr>
          <w:rFonts w:ascii="Times New Roman" w:hAnsi="Times New Roman" w:cs="Times New Roman"/>
          <w:noProof/>
          <w:sz w:val="24"/>
          <w:szCs w:val="24"/>
        </w:rPr>
        <w:t>và cộng sự</w:t>
      </w:r>
      <w:r w:rsidR="004F70F8" w:rsidRPr="00593435">
        <w:rPr>
          <w:rFonts w:ascii="Times New Roman" w:hAnsi="Times New Roman" w:cs="Times New Roman"/>
          <w:noProof/>
          <w:sz w:val="24"/>
          <w:szCs w:val="24"/>
        </w:rPr>
        <w:t>, 2019)</w:t>
      </w:r>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Tuy</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nhiên</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theo</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tìm</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hiểu</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của</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tác</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giả</w:t>
      </w:r>
      <w:proofErr w:type="spellEnd"/>
      <w:r w:rsidR="0078559F" w:rsidRPr="00593435">
        <w:rPr>
          <w:rFonts w:ascii="Times New Roman" w:hAnsi="Times New Roman" w:cs="Times New Roman"/>
          <w:sz w:val="24"/>
          <w:szCs w:val="24"/>
        </w:rPr>
        <w:t xml:space="preserve">, </w:t>
      </w:r>
      <w:proofErr w:type="spellStart"/>
      <w:r w:rsidR="00BB060B" w:rsidRPr="00593435">
        <w:rPr>
          <w:rFonts w:ascii="Times New Roman" w:hAnsi="Times New Roman" w:cs="Times New Roman"/>
          <w:sz w:val="24"/>
          <w:szCs w:val="24"/>
        </w:rPr>
        <w:t>vẫn</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chưa</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có</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nghiên</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cứu</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nào</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về</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ảnh</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hưởng</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của</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bình</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đẳng</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giới</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trong</w:t>
      </w:r>
      <w:proofErr w:type="spellEnd"/>
      <w:r w:rsidR="0078559F" w:rsidRPr="00593435">
        <w:rPr>
          <w:rFonts w:ascii="Times New Roman" w:hAnsi="Times New Roman" w:cs="Times New Roman"/>
          <w:sz w:val="24"/>
          <w:szCs w:val="24"/>
        </w:rPr>
        <w:t xml:space="preserve"> HĐQT </w:t>
      </w:r>
      <w:proofErr w:type="spellStart"/>
      <w:r w:rsidR="0078559F" w:rsidRPr="00593435">
        <w:rPr>
          <w:rFonts w:ascii="Times New Roman" w:hAnsi="Times New Roman" w:cs="Times New Roman"/>
          <w:sz w:val="24"/>
          <w:szCs w:val="24"/>
        </w:rPr>
        <w:t>đối</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với</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hiệu</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quả</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ngân</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h</w:t>
      </w:r>
      <w:r w:rsidR="00BB060B" w:rsidRPr="00593435">
        <w:rPr>
          <w:rFonts w:ascii="Times New Roman" w:hAnsi="Times New Roman" w:cs="Times New Roman"/>
          <w:sz w:val="24"/>
          <w:szCs w:val="24"/>
        </w:rPr>
        <w:t>à</w:t>
      </w:r>
      <w:r w:rsidR="0078559F" w:rsidRPr="00593435">
        <w:rPr>
          <w:rFonts w:ascii="Times New Roman" w:hAnsi="Times New Roman" w:cs="Times New Roman"/>
          <w:sz w:val="24"/>
          <w:szCs w:val="24"/>
        </w:rPr>
        <w:t>ng</w:t>
      </w:r>
      <w:proofErr w:type="spellEnd"/>
      <w:r w:rsidR="0078559F" w:rsidRPr="00593435">
        <w:rPr>
          <w:rFonts w:ascii="Times New Roman" w:hAnsi="Times New Roman" w:cs="Times New Roman"/>
          <w:sz w:val="24"/>
          <w:szCs w:val="24"/>
        </w:rPr>
        <w:t xml:space="preserve"> (bank efficiency), </w:t>
      </w:r>
      <w:proofErr w:type="spellStart"/>
      <w:r w:rsidR="0078559F" w:rsidRPr="00593435">
        <w:rPr>
          <w:rFonts w:ascii="Times New Roman" w:hAnsi="Times New Roman" w:cs="Times New Roman"/>
          <w:sz w:val="24"/>
          <w:szCs w:val="24"/>
        </w:rPr>
        <w:t>một</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yếu</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tố</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quan</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trọng</w:t>
      </w:r>
      <w:proofErr w:type="spellEnd"/>
      <w:r w:rsidR="00BB060B" w:rsidRPr="00593435">
        <w:rPr>
          <w:rFonts w:ascii="Times New Roman" w:hAnsi="Times New Roman" w:cs="Times New Roman"/>
          <w:sz w:val="24"/>
          <w:szCs w:val="24"/>
        </w:rPr>
        <w:t xml:space="preserve"> </w:t>
      </w:r>
      <w:proofErr w:type="spellStart"/>
      <w:r w:rsidR="00BB060B" w:rsidRPr="00593435">
        <w:rPr>
          <w:rFonts w:ascii="Times New Roman" w:hAnsi="Times New Roman" w:cs="Times New Roman"/>
          <w:sz w:val="24"/>
          <w:szCs w:val="24"/>
        </w:rPr>
        <w:t>trong</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việc</w:t>
      </w:r>
      <w:proofErr w:type="spellEnd"/>
      <w:r w:rsidR="0078559F" w:rsidRPr="00593435">
        <w:rPr>
          <w:rFonts w:ascii="Times New Roman" w:hAnsi="Times New Roman" w:cs="Times New Roman"/>
          <w:sz w:val="24"/>
          <w:szCs w:val="24"/>
        </w:rPr>
        <w:t xml:space="preserve"> </w:t>
      </w:r>
      <w:proofErr w:type="spellStart"/>
      <w:r w:rsidR="00530F24" w:rsidRPr="00593435">
        <w:rPr>
          <w:rFonts w:ascii="Times New Roman" w:hAnsi="Times New Roman" w:cs="Times New Roman"/>
          <w:sz w:val="24"/>
          <w:szCs w:val="24"/>
        </w:rPr>
        <w:t>đảm</w:t>
      </w:r>
      <w:proofErr w:type="spellEnd"/>
      <w:r w:rsidR="00530F24" w:rsidRPr="00593435">
        <w:rPr>
          <w:rFonts w:ascii="Times New Roman" w:hAnsi="Times New Roman" w:cs="Times New Roman"/>
          <w:sz w:val="24"/>
          <w:szCs w:val="24"/>
        </w:rPr>
        <w:t xml:space="preserve"> </w:t>
      </w:r>
      <w:proofErr w:type="spellStart"/>
      <w:r w:rsidR="00530F24" w:rsidRPr="00593435">
        <w:rPr>
          <w:rFonts w:ascii="Times New Roman" w:hAnsi="Times New Roman" w:cs="Times New Roman"/>
          <w:sz w:val="24"/>
          <w:szCs w:val="24"/>
        </w:rPr>
        <w:t>bảo</w:t>
      </w:r>
      <w:proofErr w:type="spellEnd"/>
      <w:r w:rsidR="00530F24" w:rsidRPr="00593435">
        <w:rPr>
          <w:rFonts w:ascii="Times New Roman" w:hAnsi="Times New Roman" w:cs="Times New Roman"/>
          <w:sz w:val="24"/>
          <w:szCs w:val="24"/>
        </w:rPr>
        <w:t xml:space="preserve"> </w:t>
      </w:r>
      <w:proofErr w:type="spellStart"/>
      <w:r w:rsidR="00BB060B" w:rsidRPr="00593435">
        <w:rPr>
          <w:rFonts w:ascii="Times New Roman" w:hAnsi="Times New Roman" w:cs="Times New Roman"/>
          <w:sz w:val="24"/>
          <w:szCs w:val="24"/>
        </w:rPr>
        <w:t>hệ</w:t>
      </w:r>
      <w:proofErr w:type="spellEnd"/>
      <w:r w:rsidR="00BB060B" w:rsidRPr="00593435">
        <w:rPr>
          <w:rFonts w:ascii="Times New Roman" w:hAnsi="Times New Roman" w:cs="Times New Roman"/>
          <w:sz w:val="24"/>
          <w:szCs w:val="24"/>
        </w:rPr>
        <w:t xml:space="preserve"> </w:t>
      </w:r>
      <w:proofErr w:type="spellStart"/>
      <w:r w:rsidR="00BB060B" w:rsidRPr="00593435">
        <w:rPr>
          <w:rFonts w:ascii="Times New Roman" w:hAnsi="Times New Roman" w:cs="Times New Roman"/>
          <w:sz w:val="24"/>
          <w:szCs w:val="24"/>
        </w:rPr>
        <w:t>thống</w:t>
      </w:r>
      <w:proofErr w:type="spellEnd"/>
      <w:r w:rsidR="00BB060B"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ngân</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h</w:t>
      </w:r>
      <w:r w:rsidR="00BB060B" w:rsidRPr="00593435">
        <w:rPr>
          <w:rFonts w:ascii="Times New Roman" w:hAnsi="Times New Roman" w:cs="Times New Roman"/>
          <w:sz w:val="24"/>
          <w:szCs w:val="24"/>
        </w:rPr>
        <w:t>à</w:t>
      </w:r>
      <w:r w:rsidR="0078559F" w:rsidRPr="00593435">
        <w:rPr>
          <w:rFonts w:ascii="Times New Roman" w:hAnsi="Times New Roman" w:cs="Times New Roman"/>
          <w:sz w:val="24"/>
          <w:szCs w:val="24"/>
        </w:rPr>
        <w:t>ng</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hoạt</w:t>
      </w:r>
      <w:proofErr w:type="spellEnd"/>
      <w:r w:rsidR="0078559F" w:rsidRPr="00593435">
        <w:rPr>
          <w:rFonts w:ascii="Times New Roman" w:hAnsi="Times New Roman" w:cs="Times New Roman"/>
          <w:sz w:val="24"/>
          <w:szCs w:val="24"/>
        </w:rPr>
        <w:t xml:space="preserve"> </w:t>
      </w:r>
      <w:proofErr w:type="spellStart"/>
      <w:r w:rsidR="0078559F" w:rsidRPr="00593435">
        <w:rPr>
          <w:rFonts w:ascii="Times New Roman" w:hAnsi="Times New Roman" w:cs="Times New Roman"/>
          <w:sz w:val="24"/>
          <w:szCs w:val="24"/>
        </w:rPr>
        <w:t>động</w:t>
      </w:r>
      <w:proofErr w:type="spellEnd"/>
      <w:r w:rsidR="0078559F" w:rsidRPr="00593435">
        <w:rPr>
          <w:rFonts w:ascii="Times New Roman" w:hAnsi="Times New Roman" w:cs="Times New Roman"/>
          <w:sz w:val="24"/>
          <w:szCs w:val="24"/>
        </w:rPr>
        <w:t xml:space="preserve"> </w:t>
      </w:r>
      <w:proofErr w:type="spellStart"/>
      <w:r w:rsidR="00BB060B" w:rsidRPr="00593435">
        <w:rPr>
          <w:rFonts w:ascii="Times New Roman" w:hAnsi="Times New Roman" w:cs="Times New Roman"/>
          <w:sz w:val="24"/>
          <w:szCs w:val="24"/>
        </w:rPr>
        <w:t>tốt</w:t>
      </w:r>
      <w:proofErr w:type="spellEnd"/>
      <w:r w:rsidR="0078559F"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Các</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nghiên</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cứu</w:t>
      </w:r>
      <w:proofErr w:type="spellEnd"/>
      <w:r w:rsidR="00BB060B" w:rsidRPr="00593435">
        <w:rPr>
          <w:rFonts w:ascii="Times New Roman" w:hAnsi="Times New Roman" w:cs="Times New Roman"/>
          <w:sz w:val="24"/>
          <w:szCs w:val="24"/>
        </w:rPr>
        <w:t xml:space="preserve"> </w:t>
      </w:r>
      <w:proofErr w:type="spellStart"/>
      <w:r w:rsidR="00BB060B" w:rsidRPr="00593435">
        <w:rPr>
          <w:rFonts w:ascii="Times New Roman" w:hAnsi="Times New Roman" w:cs="Times New Roman"/>
          <w:sz w:val="24"/>
          <w:szCs w:val="24"/>
        </w:rPr>
        <w:t>trước</w:t>
      </w:r>
      <w:proofErr w:type="spellEnd"/>
      <w:r w:rsidR="00BB060B" w:rsidRPr="00593435">
        <w:rPr>
          <w:rFonts w:ascii="Times New Roman" w:hAnsi="Times New Roman" w:cs="Times New Roman"/>
          <w:sz w:val="24"/>
          <w:szCs w:val="24"/>
        </w:rPr>
        <w:t xml:space="preserve"> </w:t>
      </w:r>
      <w:proofErr w:type="spellStart"/>
      <w:r w:rsidR="00BB060B" w:rsidRPr="00593435">
        <w:rPr>
          <w:rFonts w:ascii="Times New Roman" w:hAnsi="Times New Roman" w:cs="Times New Roman"/>
          <w:sz w:val="24"/>
          <w:szCs w:val="24"/>
        </w:rPr>
        <w:t>đây</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về</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ảnh</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hưởng</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của</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nữ</w:t>
      </w:r>
      <w:proofErr w:type="spellEnd"/>
      <w:r w:rsidR="005D6275" w:rsidRPr="00593435">
        <w:rPr>
          <w:rFonts w:ascii="Times New Roman" w:hAnsi="Times New Roman" w:cs="Times New Roman"/>
          <w:sz w:val="24"/>
          <w:szCs w:val="24"/>
        </w:rPr>
        <w:t xml:space="preserve"> </w:t>
      </w:r>
      <w:proofErr w:type="spellStart"/>
      <w:r w:rsidR="00BB060B" w:rsidRPr="00593435">
        <w:rPr>
          <w:rFonts w:ascii="Times New Roman" w:hAnsi="Times New Roman" w:cs="Times New Roman"/>
          <w:sz w:val="24"/>
          <w:szCs w:val="24"/>
        </w:rPr>
        <w:t>thành</w:t>
      </w:r>
      <w:proofErr w:type="spellEnd"/>
      <w:r w:rsidR="00BB060B" w:rsidRPr="00593435">
        <w:rPr>
          <w:rFonts w:ascii="Times New Roman" w:hAnsi="Times New Roman" w:cs="Times New Roman"/>
          <w:sz w:val="24"/>
          <w:szCs w:val="24"/>
        </w:rPr>
        <w:t xml:space="preserve"> </w:t>
      </w:r>
      <w:proofErr w:type="spellStart"/>
      <w:r w:rsidR="00BB060B" w:rsidRPr="00593435">
        <w:rPr>
          <w:rFonts w:ascii="Times New Roman" w:hAnsi="Times New Roman" w:cs="Times New Roman"/>
          <w:sz w:val="24"/>
          <w:szCs w:val="24"/>
        </w:rPr>
        <w:t>viên</w:t>
      </w:r>
      <w:proofErr w:type="spellEnd"/>
      <w:r w:rsidR="00BB060B" w:rsidRPr="00593435">
        <w:rPr>
          <w:rFonts w:ascii="Times New Roman" w:hAnsi="Times New Roman" w:cs="Times New Roman"/>
          <w:sz w:val="24"/>
          <w:szCs w:val="24"/>
        </w:rPr>
        <w:t xml:space="preserve"> </w:t>
      </w:r>
      <w:r w:rsidR="005D6275" w:rsidRPr="00593435">
        <w:rPr>
          <w:rFonts w:ascii="Times New Roman" w:hAnsi="Times New Roman" w:cs="Times New Roman"/>
          <w:sz w:val="24"/>
          <w:szCs w:val="24"/>
        </w:rPr>
        <w:t xml:space="preserve">HĐQT </w:t>
      </w:r>
      <w:proofErr w:type="spellStart"/>
      <w:r w:rsidR="005D6275" w:rsidRPr="00593435">
        <w:rPr>
          <w:rFonts w:ascii="Times New Roman" w:hAnsi="Times New Roman" w:cs="Times New Roman"/>
          <w:sz w:val="24"/>
          <w:szCs w:val="24"/>
        </w:rPr>
        <w:t>và</w:t>
      </w:r>
      <w:proofErr w:type="spellEnd"/>
      <w:r w:rsidR="005D6275" w:rsidRPr="00593435">
        <w:rPr>
          <w:rFonts w:ascii="Times New Roman" w:hAnsi="Times New Roman" w:cs="Times New Roman"/>
          <w:sz w:val="24"/>
          <w:szCs w:val="24"/>
        </w:rPr>
        <w:t xml:space="preserve"> </w:t>
      </w:r>
      <w:proofErr w:type="spellStart"/>
      <w:r w:rsidR="00BB060B" w:rsidRPr="00593435">
        <w:rPr>
          <w:rFonts w:ascii="Times New Roman" w:hAnsi="Times New Roman" w:cs="Times New Roman"/>
          <w:sz w:val="24"/>
          <w:szCs w:val="24"/>
        </w:rPr>
        <w:t>kết</w:t>
      </w:r>
      <w:proofErr w:type="spellEnd"/>
      <w:r w:rsidR="00BB060B" w:rsidRPr="00593435">
        <w:rPr>
          <w:rFonts w:ascii="Times New Roman" w:hAnsi="Times New Roman" w:cs="Times New Roman"/>
          <w:sz w:val="24"/>
          <w:szCs w:val="24"/>
        </w:rPr>
        <w:t xml:space="preserve"> </w:t>
      </w:r>
      <w:proofErr w:type="spellStart"/>
      <w:r w:rsidR="00BB060B" w:rsidRPr="00593435">
        <w:rPr>
          <w:rFonts w:ascii="Times New Roman" w:hAnsi="Times New Roman" w:cs="Times New Roman"/>
          <w:sz w:val="24"/>
          <w:szCs w:val="24"/>
        </w:rPr>
        <w:t>quả</w:t>
      </w:r>
      <w:proofErr w:type="spellEnd"/>
      <w:r w:rsidR="00BB060B" w:rsidRPr="00593435">
        <w:rPr>
          <w:rFonts w:ascii="Times New Roman" w:hAnsi="Times New Roman" w:cs="Times New Roman"/>
          <w:sz w:val="24"/>
          <w:szCs w:val="24"/>
        </w:rPr>
        <w:t xml:space="preserve"> </w:t>
      </w:r>
      <w:proofErr w:type="spellStart"/>
      <w:r w:rsidR="00BB060B" w:rsidRPr="00593435">
        <w:rPr>
          <w:rFonts w:ascii="Times New Roman" w:hAnsi="Times New Roman" w:cs="Times New Roman"/>
          <w:sz w:val="24"/>
          <w:szCs w:val="24"/>
        </w:rPr>
        <w:t>kinh</w:t>
      </w:r>
      <w:proofErr w:type="spellEnd"/>
      <w:r w:rsidR="00BB060B" w:rsidRPr="00593435">
        <w:rPr>
          <w:rFonts w:ascii="Times New Roman" w:hAnsi="Times New Roman" w:cs="Times New Roman"/>
          <w:sz w:val="24"/>
          <w:szCs w:val="24"/>
        </w:rPr>
        <w:t xml:space="preserve"> </w:t>
      </w:r>
      <w:proofErr w:type="spellStart"/>
      <w:r w:rsidR="00BB060B" w:rsidRPr="00593435">
        <w:rPr>
          <w:rFonts w:ascii="Times New Roman" w:hAnsi="Times New Roman" w:cs="Times New Roman"/>
          <w:sz w:val="24"/>
          <w:szCs w:val="24"/>
        </w:rPr>
        <w:t>doanh</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của</w:t>
      </w:r>
      <w:proofErr w:type="spellEnd"/>
      <w:r w:rsidR="005D6275" w:rsidRPr="00593435">
        <w:rPr>
          <w:rFonts w:ascii="Times New Roman" w:hAnsi="Times New Roman" w:cs="Times New Roman"/>
          <w:sz w:val="24"/>
          <w:szCs w:val="24"/>
        </w:rPr>
        <w:t xml:space="preserve"> </w:t>
      </w:r>
      <w:proofErr w:type="spellStart"/>
      <w:r w:rsidR="00BB060B" w:rsidRPr="00593435">
        <w:rPr>
          <w:rFonts w:ascii="Times New Roman" w:hAnsi="Times New Roman" w:cs="Times New Roman"/>
          <w:sz w:val="24"/>
          <w:szCs w:val="24"/>
        </w:rPr>
        <w:t>ngân</w:t>
      </w:r>
      <w:proofErr w:type="spellEnd"/>
      <w:r w:rsidR="00BB060B" w:rsidRPr="00593435">
        <w:rPr>
          <w:rFonts w:ascii="Times New Roman" w:hAnsi="Times New Roman" w:cs="Times New Roman"/>
          <w:sz w:val="24"/>
          <w:szCs w:val="24"/>
        </w:rPr>
        <w:t xml:space="preserve"> </w:t>
      </w:r>
      <w:proofErr w:type="spellStart"/>
      <w:r w:rsidR="00BB060B" w:rsidRPr="00593435">
        <w:rPr>
          <w:rFonts w:ascii="Times New Roman" w:hAnsi="Times New Roman" w:cs="Times New Roman"/>
          <w:sz w:val="24"/>
          <w:szCs w:val="24"/>
        </w:rPr>
        <w:t>hàng</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chủ</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yếu</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tập</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trung</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vào</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các</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chỉ</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số</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tài</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chính</w:t>
      </w:r>
      <w:proofErr w:type="spellEnd"/>
      <w:r w:rsidR="005D6275" w:rsidRPr="00593435">
        <w:rPr>
          <w:rFonts w:ascii="Times New Roman" w:hAnsi="Times New Roman" w:cs="Times New Roman"/>
          <w:sz w:val="24"/>
          <w:szCs w:val="24"/>
        </w:rPr>
        <w:t xml:space="preserve"> (ROA, ROE…). </w:t>
      </w:r>
      <w:proofErr w:type="spellStart"/>
      <w:r w:rsidR="00BB060B" w:rsidRPr="00593435">
        <w:rPr>
          <w:rFonts w:ascii="Times New Roman" w:hAnsi="Times New Roman" w:cs="Times New Roman"/>
          <w:sz w:val="24"/>
          <w:szCs w:val="24"/>
        </w:rPr>
        <w:t>Tuy</w:t>
      </w:r>
      <w:proofErr w:type="spellEnd"/>
      <w:r w:rsidR="00BB060B" w:rsidRPr="00593435">
        <w:rPr>
          <w:rFonts w:ascii="Times New Roman" w:hAnsi="Times New Roman" w:cs="Times New Roman"/>
          <w:sz w:val="24"/>
          <w:szCs w:val="24"/>
        </w:rPr>
        <w:t xml:space="preserve"> </w:t>
      </w:r>
      <w:proofErr w:type="spellStart"/>
      <w:r w:rsidR="00BB060B" w:rsidRPr="00593435">
        <w:rPr>
          <w:rFonts w:ascii="Times New Roman" w:hAnsi="Times New Roman" w:cs="Times New Roman"/>
          <w:sz w:val="24"/>
          <w:szCs w:val="24"/>
        </w:rPr>
        <w:t>nhiên</w:t>
      </w:r>
      <w:proofErr w:type="spellEnd"/>
      <w:r w:rsidR="00BB060B" w:rsidRPr="00593435">
        <w:rPr>
          <w:rFonts w:ascii="Times New Roman" w:hAnsi="Times New Roman" w:cs="Times New Roman"/>
          <w:sz w:val="24"/>
          <w:szCs w:val="24"/>
        </w:rPr>
        <w:t xml:space="preserve">, </w:t>
      </w:r>
      <w:proofErr w:type="spellStart"/>
      <w:r w:rsidR="00BB060B" w:rsidRPr="00593435">
        <w:rPr>
          <w:rFonts w:ascii="Times New Roman" w:hAnsi="Times New Roman" w:cs="Times New Roman"/>
          <w:sz w:val="24"/>
          <w:szCs w:val="24"/>
        </w:rPr>
        <w:t>một</w:t>
      </w:r>
      <w:proofErr w:type="spellEnd"/>
      <w:r w:rsidR="00BB060B" w:rsidRPr="00593435">
        <w:rPr>
          <w:rFonts w:ascii="Times New Roman" w:hAnsi="Times New Roman" w:cs="Times New Roman"/>
          <w:sz w:val="24"/>
          <w:szCs w:val="24"/>
        </w:rPr>
        <w:t xml:space="preserve"> </w:t>
      </w:r>
      <w:proofErr w:type="spellStart"/>
      <w:r w:rsidR="00BB060B" w:rsidRPr="00593435">
        <w:rPr>
          <w:rFonts w:ascii="Times New Roman" w:hAnsi="Times New Roman" w:cs="Times New Roman"/>
          <w:sz w:val="24"/>
          <w:szCs w:val="24"/>
        </w:rPr>
        <w:t>n</w:t>
      </w:r>
      <w:r w:rsidR="005D6275" w:rsidRPr="00593435">
        <w:rPr>
          <w:rFonts w:ascii="Times New Roman" w:hAnsi="Times New Roman" w:cs="Times New Roman"/>
          <w:sz w:val="24"/>
          <w:szCs w:val="24"/>
        </w:rPr>
        <w:t>hược</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điểm</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của</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các</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chỉ</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số</w:t>
      </w:r>
      <w:proofErr w:type="spellEnd"/>
      <w:r w:rsidR="005D6275" w:rsidRPr="00593435">
        <w:rPr>
          <w:rFonts w:ascii="Times New Roman" w:hAnsi="Times New Roman" w:cs="Times New Roman"/>
          <w:sz w:val="24"/>
          <w:szCs w:val="24"/>
        </w:rPr>
        <w:t xml:space="preserve"> </w:t>
      </w:r>
      <w:proofErr w:type="spellStart"/>
      <w:r w:rsidR="00BB060B" w:rsidRPr="00593435">
        <w:rPr>
          <w:rFonts w:ascii="Times New Roman" w:hAnsi="Times New Roman" w:cs="Times New Roman"/>
          <w:sz w:val="24"/>
          <w:szCs w:val="24"/>
        </w:rPr>
        <w:t>tài</w:t>
      </w:r>
      <w:proofErr w:type="spellEnd"/>
      <w:r w:rsidR="00BB060B" w:rsidRPr="00593435">
        <w:rPr>
          <w:rFonts w:ascii="Times New Roman" w:hAnsi="Times New Roman" w:cs="Times New Roman"/>
          <w:sz w:val="24"/>
          <w:szCs w:val="24"/>
        </w:rPr>
        <w:t xml:space="preserve"> </w:t>
      </w:r>
      <w:proofErr w:type="spellStart"/>
      <w:r w:rsidR="00BB060B" w:rsidRPr="00593435">
        <w:rPr>
          <w:rFonts w:ascii="Times New Roman" w:hAnsi="Times New Roman" w:cs="Times New Roman"/>
          <w:sz w:val="24"/>
          <w:szCs w:val="24"/>
        </w:rPr>
        <w:t>chính</w:t>
      </w:r>
      <w:proofErr w:type="spellEnd"/>
      <w:r w:rsidR="00BB060B"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này</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là</w:t>
      </w:r>
      <w:proofErr w:type="spellEnd"/>
      <w:r w:rsidR="00BB060B" w:rsidRPr="00593435">
        <w:rPr>
          <w:rFonts w:ascii="Times New Roman" w:hAnsi="Times New Roman" w:cs="Times New Roman"/>
          <w:sz w:val="24"/>
          <w:szCs w:val="24"/>
        </w:rPr>
        <w:t xml:space="preserve"> </w:t>
      </w:r>
      <w:proofErr w:type="spellStart"/>
      <w:r w:rsidR="00BB060B" w:rsidRPr="00593435">
        <w:rPr>
          <w:rFonts w:ascii="Times New Roman" w:hAnsi="Times New Roman" w:cs="Times New Roman"/>
          <w:sz w:val="24"/>
          <w:szCs w:val="24"/>
        </w:rPr>
        <w:t>chúng</w:t>
      </w:r>
      <w:proofErr w:type="spellEnd"/>
      <w:r w:rsidR="00BB060B" w:rsidRPr="00593435">
        <w:rPr>
          <w:rFonts w:ascii="Times New Roman" w:hAnsi="Times New Roman" w:cs="Times New Roman"/>
          <w:sz w:val="24"/>
          <w:szCs w:val="24"/>
        </w:rPr>
        <w:t xml:space="preserve"> </w:t>
      </w:r>
      <w:proofErr w:type="spellStart"/>
      <w:r w:rsidR="00BB060B" w:rsidRPr="00593435">
        <w:rPr>
          <w:rFonts w:ascii="Times New Roman" w:hAnsi="Times New Roman" w:cs="Times New Roman"/>
          <w:sz w:val="24"/>
          <w:szCs w:val="24"/>
        </w:rPr>
        <w:t>ít</w:t>
      </w:r>
      <w:proofErr w:type="spellEnd"/>
      <w:r w:rsidR="00BB060B" w:rsidRPr="00593435">
        <w:rPr>
          <w:rFonts w:ascii="Times New Roman" w:hAnsi="Times New Roman" w:cs="Times New Roman"/>
          <w:sz w:val="24"/>
          <w:szCs w:val="24"/>
        </w:rPr>
        <w:t xml:space="preserve"> </w:t>
      </w:r>
      <w:proofErr w:type="spellStart"/>
      <w:r w:rsidR="00BB060B" w:rsidRPr="00593435">
        <w:rPr>
          <w:rFonts w:ascii="Times New Roman" w:hAnsi="Times New Roman" w:cs="Times New Roman"/>
          <w:sz w:val="24"/>
          <w:szCs w:val="24"/>
        </w:rPr>
        <w:t>có</w:t>
      </w:r>
      <w:proofErr w:type="spellEnd"/>
      <w:r w:rsidR="00BB060B" w:rsidRPr="00593435">
        <w:rPr>
          <w:rFonts w:ascii="Times New Roman" w:hAnsi="Times New Roman" w:cs="Times New Roman"/>
          <w:sz w:val="24"/>
          <w:szCs w:val="24"/>
        </w:rPr>
        <w:t xml:space="preserve"> ý </w:t>
      </w:r>
      <w:proofErr w:type="spellStart"/>
      <w:r w:rsidR="00BB060B" w:rsidRPr="00593435">
        <w:rPr>
          <w:rFonts w:ascii="Times New Roman" w:hAnsi="Times New Roman" w:cs="Times New Roman"/>
          <w:sz w:val="24"/>
          <w:szCs w:val="24"/>
        </w:rPr>
        <w:t>nghĩa</w:t>
      </w:r>
      <w:proofErr w:type="spellEnd"/>
      <w:r w:rsidR="00BB060B" w:rsidRPr="00593435">
        <w:rPr>
          <w:rFonts w:ascii="Times New Roman" w:hAnsi="Times New Roman" w:cs="Times New Roman"/>
          <w:sz w:val="24"/>
          <w:szCs w:val="24"/>
        </w:rPr>
        <w:t xml:space="preserve"> </w:t>
      </w:r>
      <w:proofErr w:type="spellStart"/>
      <w:r w:rsidR="00BB060B" w:rsidRPr="00593435">
        <w:rPr>
          <w:rFonts w:ascii="Times New Roman" w:hAnsi="Times New Roman" w:cs="Times New Roman"/>
          <w:sz w:val="24"/>
          <w:szCs w:val="24"/>
        </w:rPr>
        <w:t>hơn</w:t>
      </w:r>
      <w:proofErr w:type="spellEnd"/>
      <w:r w:rsidR="00BB060B" w:rsidRPr="00593435">
        <w:rPr>
          <w:rFonts w:ascii="Times New Roman" w:hAnsi="Times New Roman" w:cs="Times New Roman"/>
          <w:sz w:val="24"/>
          <w:szCs w:val="24"/>
        </w:rPr>
        <w:t xml:space="preserve"> </w:t>
      </w:r>
      <w:proofErr w:type="spellStart"/>
      <w:r w:rsidR="00BB060B" w:rsidRPr="00593435">
        <w:rPr>
          <w:rFonts w:ascii="Times New Roman" w:hAnsi="Times New Roman" w:cs="Times New Roman"/>
          <w:sz w:val="24"/>
          <w:szCs w:val="24"/>
        </w:rPr>
        <w:t>khi</w:t>
      </w:r>
      <w:proofErr w:type="spellEnd"/>
      <w:r w:rsidR="00BB060B" w:rsidRPr="00593435">
        <w:rPr>
          <w:rFonts w:ascii="Times New Roman" w:hAnsi="Times New Roman" w:cs="Times New Roman"/>
          <w:sz w:val="24"/>
          <w:szCs w:val="24"/>
        </w:rPr>
        <w:t xml:space="preserve"> </w:t>
      </w:r>
      <w:proofErr w:type="spellStart"/>
      <w:r w:rsidR="003E5CFF" w:rsidRPr="00593435">
        <w:rPr>
          <w:rFonts w:ascii="Times New Roman" w:hAnsi="Times New Roman" w:cs="Times New Roman"/>
          <w:sz w:val="24"/>
          <w:szCs w:val="24"/>
        </w:rPr>
        <w:t>có</w:t>
      </w:r>
      <w:proofErr w:type="spellEnd"/>
      <w:r w:rsidR="003E5CFF" w:rsidRPr="00593435">
        <w:rPr>
          <w:rFonts w:ascii="Times New Roman" w:hAnsi="Times New Roman" w:cs="Times New Roman"/>
          <w:sz w:val="24"/>
          <w:szCs w:val="24"/>
        </w:rPr>
        <w:t xml:space="preserve"> </w:t>
      </w:r>
      <w:proofErr w:type="spellStart"/>
      <w:r w:rsidR="003E5CFF" w:rsidRPr="00593435">
        <w:rPr>
          <w:rFonts w:ascii="Times New Roman" w:hAnsi="Times New Roman" w:cs="Times New Roman"/>
          <w:sz w:val="24"/>
          <w:szCs w:val="24"/>
        </w:rPr>
        <w:t>nhiều</w:t>
      </w:r>
      <w:proofErr w:type="spellEnd"/>
      <w:r w:rsidR="003E5CFF" w:rsidRPr="00593435">
        <w:rPr>
          <w:rFonts w:ascii="Times New Roman" w:hAnsi="Times New Roman" w:cs="Times New Roman"/>
          <w:sz w:val="24"/>
          <w:szCs w:val="24"/>
        </w:rPr>
        <w:t xml:space="preserve"> </w:t>
      </w:r>
      <w:proofErr w:type="spellStart"/>
      <w:r w:rsidR="003E5CFF" w:rsidRPr="00593435">
        <w:rPr>
          <w:rFonts w:ascii="Times New Roman" w:hAnsi="Times New Roman" w:cs="Times New Roman"/>
          <w:sz w:val="24"/>
          <w:szCs w:val="24"/>
        </w:rPr>
        <w:t>yếu</w:t>
      </w:r>
      <w:proofErr w:type="spellEnd"/>
      <w:r w:rsidR="003E5CFF" w:rsidRPr="00593435">
        <w:rPr>
          <w:rFonts w:ascii="Times New Roman" w:hAnsi="Times New Roman" w:cs="Times New Roman"/>
          <w:sz w:val="24"/>
          <w:szCs w:val="24"/>
        </w:rPr>
        <w:t xml:space="preserve"> </w:t>
      </w:r>
      <w:proofErr w:type="spellStart"/>
      <w:r w:rsidR="003E5CFF" w:rsidRPr="00593435">
        <w:rPr>
          <w:rFonts w:ascii="Times New Roman" w:hAnsi="Times New Roman" w:cs="Times New Roman"/>
          <w:sz w:val="24"/>
          <w:szCs w:val="24"/>
        </w:rPr>
        <w:t>tố</w:t>
      </w:r>
      <w:proofErr w:type="spellEnd"/>
      <w:r w:rsidR="003E5CFF" w:rsidRPr="00593435">
        <w:rPr>
          <w:rFonts w:ascii="Times New Roman" w:hAnsi="Times New Roman" w:cs="Times New Roman"/>
          <w:sz w:val="24"/>
          <w:szCs w:val="24"/>
        </w:rPr>
        <w:t xml:space="preserve"> </w:t>
      </w:r>
      <w:proofErr w:type="spellStart"/>
      <w:r w:rsidR="003E5CFF" w:rsidRPr="00593435">
        <w:rPr>
          <w:rFonts w:ascii="Times New Roman" w:hAnsi="Times New Roman" w:cs="Times New Roman"/>
          <w:sz w:val="24"/>
          <w:szCs w:val="24"/>
        </w:rPr>
        <w:t>đầu</w:t>
      </w:r>
      <w:proofErr w:type="spellEnd"/>
      <w:r w:rsidR="003E5CFF" w:rsidRPr="00593435">
        <w:rPr>
          <w:rFonts w:ascii="Times New Roman" w:hAnsi="Times New Roman" w:cs="Times New Roman"/>
          <w:sz w:val="24"/>
          <w:szCs w:val="24"/>
        </w:rPr>
        <w:t xml:space="preserve"> </w:t>
      </w:r>
      <w:proofErr w:type="spellStart"/>
      <w:r w:rsidR="003E5CFF" w:rsidRPr="00593435">
        <w:rPr>
          <w:rFonts w:ascii="Times New Roman" w:hAnsi="Times New Roman" w:cs="Times New Roman"/>
          <w:sz w:val="24"/>
          <w:szCs w:val="24"/>
        </w:rPr>
        <w:t>vào</w:t>
      </w:r>
      <w:proofErr w:type="spellEnd"/>
      <w:r w:rsidR="003E5CFF" w:rsidRPr="00593435">
        <w:rPr>
          <w:rFonts w:ascii="Times New Roman" w:hAnsi="Times New Roman" w:cs="Times New Roman"/>
          <w:sz w:val="24"/>
          <w:szCs w:val="24"/>
        </w:rPr>
        <w:t xml:space="preserve"> </w:t>
      </w:r>
      <w:proofErr w:type="spellStart"/>
      <w:r w:rsidR="003E5CFF" w:rsidRPr="00593435">
        <w:rPr>
          <w:rFonts w:ascii="Times New Roman" w:hAnsi="Times New Roman" w:cs="Times New Roman"/>
          <w:sz w:val="24"/>
          <w:szCs w:val="24"/>
        </w:rPr>
        <w:t>và</w:t>
      </w:r>
      <w:proofErr w:type="spellEnd"/>
      <w:r w:rsidR="003E5CFF" w:rsidRPr="00593435">
        <w:rPr>
          <w:rFonts w:ascii="Times New Roman" w:hAnsi="Times New Roman" w:cs="Times New Roman"/>
          <w:sz w:val="24"/>
          <w:szCs w:val="24"/>
        </w:rPr>
        <w:t>/</w:t>
      </w:r>
      <w:proofErr w:type="spellStart"/>
      <w:r w:rsidR="003E5CFF" w:rsidRPr="00593435">
        <w:rPr>
          <w:rFonts w:ascii="Times New Roman" w:hAnsi="Times New Roman" w:cs="Times New Roman"/>
          <w:sz w:val="24"/>
          <w:szCs w:val="24"/>
        </w:rPr>
        <w:t>hoặc</w:t>
      </w:r>
      <w:proofErr w:type="spellEnd"/>
      <w:r w:rsidR="003E5CFF" w:rsidRPr="00593435">
        <w:rPr>
          <w:rFonts w:ascii="Times New Roman" w:hAnsi="Times New Roman" w:cs="Times New Roman"/>
          <w:sz w:val="24"/>
          <w:szCs w:val="24"/>
        </w:rPr>
        <w:t xml:space="preserve"> </w:t>
      </w:r>
      <w:proofErr w:type="spellStart"/>
      <w:r w:rsidR="003E5CFF" w:rsidRPr="00593435">
        <w:rPr>
          <w:rFonts w:ascii="Times New Roman" w:hAnsi="Times New Roman" w:cs="Times New Roman"/>
          <w:sz w:val="24"/>
          <w:szCs w:val="24"/>
        </w:rPr>
        <w:t>yếu</w:t>
      </w:r>
      <w:proofErr w:type="spellEnd"/>
      <w:r w:rsidR="003E5CFF" w:rsidRPr="00593435">
        <w:rPr>
          <w:rFonts w:ascii="Times New Roman" w:hAnsi="Times New Roman" w:cs="Times New Roman"/>
          <w:sz w:val="24"/>
          <w:szCs w:val="24"/>
        </w:rPr>
        <w:t xml:space="preserve"> </w:t>
      </w:r>
      <w:proofErr w:type="spellStart"/>
      <w:r w:rsidR="003E5CFF" w:rsidRPr="00593435">
        <w:rPr>
          <w:rFonts w:ascii="Times New Roman" w:hAnsi="Times New Roman" w:cs="Times New Roman"/>
          <w:sz w:val="24"/>
          <w:szCs w:val="24"/>
        </w:rPr>
        <w:t>tố</w:t>
      </w:r>
      <w:proofErr w:type="spellEnd"/>
      <w:r w:rsidR="003E5CFF" w:rsidRPr="00593435">
        <w:rPr>
          <w:rFonts w:ascii="Times New Roman" w:hAnsi="Times New Roman" w:cs="Times New Roman"/>
          <w:sz w:val="24"/>
          <w:szCs w:val="24"/>
        </w:rPr>
        <w:t xml:space="preserve"> </w:t>
      </w:r>
      <w:proofErr w:type="spellStart"/>
      <w:r w:rsidR="003E5CFF" w:rsidRPr="00593435">
        <w:rPr>
          <w:rFonts w:ascii="Times New Roman" w:hAnsi="Times New Roman" w:cs="Times New Roman"/>
          <w:sz w:val="24"/>
          <w:szCs w:val="24"/>
        </w:rPr>
        <w:t>đầu</w:t>
      </w:r>
      <w:proofErr w:type="spellEnd"/>
      <w:r w:rsidR="003E5CFF" w:rsidRPr="00593435">
        <w:rPr>
          <w:rFonts w:ascii="Times New Roman" w:hAnsi="Times New Roman" w:cs="Times New Roman"/>
          <w:sz w:val="24"/>
          <w:szCs w:val="24"/>
        </w:rPr>
        <w:t xml:space="preserve"> </w:t>
      </w:r>
      <w:proofErr w:type="spellStart"/>
      <w:r w:rsidR="003E5CFF" w:rsidRPr="00593435">
        <w:rPr>
          <w:rFonts w:ascii="Times New Roman" w:hAnsi="Times New Roman" w:cs="Times New Roman"/>
          <w:sz w:val="24"/>
          <w:szCs w:val="24"/>
        </w:rPr>
        <w:lastRenderedPageBreak/>
        <w:t>ra</w:t>
      </w:r>
      <w:proofErr w:type="spellEnd"/>
      <w:r w:rsidR="003E5CFF" w:rsidRPr="00593435">
        <w:rPr>
          <w:rFonts w:ascii="Times New Roman" w:hAnsi="Times New Roman" w:cs="Times New Roman"/>
          <w:sz w:val="24"/>
          <w:szCs w:val="24"/>
        </w:rPr>
        <w:t xml:space="preserve"> </w:t>
      </w:r>
      <w:proofErr w:type="spellStart"/>
      <w:r w:rsidR="003E5CFF" w:rsidRPr="00593435">
        <w:rPr>
          <w:rFonts w:ascii="Times New Roman" w:hAnsi="Times New Roman" w:cs="Times New Roman"/>
          <w:sz w:val="24"/>
          <w:szCs w:val="24"/>
        </w:rPr>
        <w:t>không</w:t>
      </w:r>
      <w:proofErr w:type="spellEnd"/>
      <w:r w:rsidR="003E5CFF" w:rsidRPr="00593435">
        <w:rPr>
          <w:rFonts w:ascii="Times New Roman" w:hAnsi="Times New Roman" w:cs="Times New Roman"/>
          <w:sz w:val="24"/>
          <w:szCs w:val="24"/>
        </w:rPr>
        <w:t xml:space="preserve"> </w:t>
      </w:r>
      <w:proofErr w:type="spellStart"/>
      <w:r w:rsidR="003E5CFF" w:rsidRPr="00593435">
        <w:rPr>
          <w:rFonts w:ascii="Times New Roman" w:hAnsi="Times New Roman" w:cs="Times New Roman"/>
          <w:sz w:val="24"/>
          <w:szCs w:val="24"/>
        </w:rPr>
        <w:t>tương</w:t>
      </w:r>
      <w:proofErr w:type="spellEnd"/>
      <w:r w:rsidR="003E5CFF" w:rsidRPr="00593435">
        <w:rPr>
          <w:rFonts w:ascii="Times New Roman" w:hAnsi="Times New Roman" w:cs="Times New Roman"/>
          <w:sz w:val="24"/>
          <w:szCs w:val="24"/>
        </w:rPr>
        <w:t xml:space="preserve"> </w:t>
      </w:r>
      <w:proofErr w:type="spellStart"/>
      <w:r w:rsidR="003E5CFF" w:rsidRPr="00593435">
        <w:rPr>
          <w:rFonts w:ascii="Times New Roman" w:hAnsi="Times New Roman" w:cs="Times New Roman"/>
          <w:sz w:val="24"/>
          <w:szCs w:val="24"/>
        </w:rPr>
        <w:t>xứng</w:t>
      </w:r>
      <w:proofErr w:type="spellEnd"/>
      <w:r w:rsidR="003E5CFF" w:rsidRPr="00593435">
        <w:rPr>
          <w:rFonts w:ascii="Times New Roman" w:hAnsi="Times New Roman" w:cs="Times New Roman"/>
          <w:sz w:val="24"/>
          <w:szCs w:val="24"/>
        </w:rPr>
        <w:t xml:space="preserve">. Do </w:t>
      </w:r>
      <w:proofErr w:type="spellStart"/>
      <w:r w:rsidR="005D6275" w:rsidRPr="00593435">
        <w:rPr>
          <w:rFonts w:ascii="Times New Roman" w:hAnsi="Times New Roman" w:cs="Times New Roman"/>
          <w:sz w:val="24"/>
          <w:szCs w:val="24"/>
        </w:rPr>
        <w:t>đó</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trong</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thời</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gian</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gần</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đây</w:t>
      </w:r>
      <w:proofErr w:type="spellEnd"/>
      <w:r w:rsidR="003E5CFF" w:rsidRPr="00593435">
        <w:rPr>
          <w:rFonts w:ascii="Times New Roman" w:hAnsi="Times New Roman" w:cs="Times New Roman"/>
          <w:sz w:val="24"/>
          <w:szCs w:val="24"/>
        </w:rPr>
        <w:t xml:space="preserve">, </w:t>
      </w:r>
      <w:proofErr w:type="spellStart"/>
      <w:r w:rsidR="003E5CFF" w:rsidRPr="00593435">
        <w:rPr>
          <w:rFonts w:ascii="Times New Roman" w:hAnsi="Times New Roman" w:cs="Times New Roman"/>
          <w:sz w:val="24"/>
          <w:szCs w:val="24"/>
        </w:rPr>
        <w:t>nhiều</w:t>
      </w:r>
      <w:proofErr w:type="spellEnd"/>
      <w:r w:rsidR="003E5CFF" w:rsidRPr="00593435">
        <w:rPr>
          <w:rFonts w:ascii="Times New Roman" w:hAnsi="Times New Roman" w:cs="Times New Roman"/>
          <w:sz w:val="24"/>
          <w:szCs w:val="24"/>
        </w:rPr>
        <w:t xml:space="preserve"> </w:t>
      </w:r>
      <w:proofErr w:type="spellStart"/>
      <w:r w:rsidR="003E5CFF" w:rsidRPr="00593435">
        <w:rPr>
          <w:rFonts w:ascii="Times New Roman" w:hAnsi="Times New Roman" w:cs="Times New Roman"/>
          <w:sz w:val="24"/>
          <w:szCs w:val="24"/>
        </w:rPr>
        <w:t>nghiên</w:t>
      </w:r>
      <w:proofErr w:type="spellEnd"/>
      <w:r w:rsidR="003E5CFF" w:rsidRPr="00593435">
        <w:rPr>
          <w:rFonts w:ascii="Times New Roman" w:hAnsi="Times New Roman" w:cs="Times New Roman"/>
          <w:sz w:val="24"/>
          <w:szCs w:val="24"/>
        </w:rPr>
        <w:t xml:space="preserve"> </w:t>
      </w:r>
      <w:proofErr w:type="spellStart"/>
      <w:r w:rsidR="003E5CFF" w:rsidRPr="00593435">
        <w:rPr>
          <w:rFonts w:ascii="Times New Roman" w:hAnsi="Times New Roman" w:cs="Times New Roman"/>
          <w:sz w:val="24"/>
          <w:szCs w:val="24"/>
        </w:rPr>
        <w:t>cứu</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đã</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chuyển</w:t>
      </w:r>
      <w:proofErr w:type="spellEnd"/>
      <w:r w:rsidR="005D6275" w:rsidRPr="00593435">
        <w:rPr>
          <w:rFonts w:ascii="Times New Roman" w:hAnsi="Times New Roman" w:cs="Times New Roman"/>
          <w:sz w:val="24"/>
          <w:szCs w:val="24"/>
        </w:rPr>
        <w:t xml:space="preserve"> sang </w:t>
      </w:r>
      <w:proofErr w:type="spellStart"/>
      <w:r w:rsidR="005D6275" w:rsidRPr="00593435">
        <w:rPr>
          <w:rFonts w:ascii="Times New Roman" w:hAnsi="Times New Roman" w:cs="Times New Roman"/>
          <w:sz w:val="24"/>
          <w:szCs w:val="24"/>
        </w:rPr>
        <w:t>sử</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dụng</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đường</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biên</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hiệu</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quả</w:t>
      </w:r>
      <w:proofErr w:type="spellEnd"/>
      <w:r w:rsidR="003E5CFF" w:rsidRPr="00593435">
        <w:rPr>
          <w:rFonts w:ascii="Times New Roman" w:hAnsi="Times New Roman" w:cs="Times New Roman"/>
          <w:sz w:val="24"/>
          <w:szCs w:val="24"/>
        </w:rPr>
        <w:t xml:space="preserve"> (efficient frontier) </w:t>
      </w:r>
      <w:proofErr w:type="spellStart"/>
      <w:r w:rsidR="003E5CFF" w:rsidRPr="00593435">
        <w:rPr>
          <w:rFonts w:ascii="Times New Roman" w:hAnsi="Times New Roman" w:cs="Times New Roman"/>
          <w:sz w:val="24"/>
          <w:szCs w:val="24"/>
        </w:rPr>
        <w:t>để</w:t>
      </w:r>
      <w:proofErr w:type="spellEnd"/>
      <w:r w:rsidR="003E5CFF"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đo</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lường</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một</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ngân</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h</w:t>
      </w:r>
      <w:r w:rsidR="003E5CFF" w:rsidRPr="00593435">
        <w:rPr>
          <w:rFonts w:ascii="Times New Roman" w:hAnsi="Times New Roman" w:cs="Times New Roman"/>
          <w:sz w:val="24"/>
          <w:szCs w:val="24"/>
        </w:rPr>
        <w:t>à</w:t>
      </w:r>
      <w:r w:rsidR="005D6275" w:rsidRPr="00593435">
        <w:rPr>
          <w:rFonts w:ascii="Times New Roman" w:hAnsi="Times New Roman" w:cs="Times New Roman"/>
          <w:sz w:val="24"/>
          <w:szCs w:val="24"/>
        </w:rPr>
        <w:t>ng</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hoạt</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động</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như</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thế</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nào</w:t>
      </w:r>
      <w:proofErr w:type="spellEnd"/>
      <w:r w:rsidR="005D6275" w:rsidRPr="00593435">
        <w:rPr>
          <w:rFonts w:ascii="Times New Roman" w:hAnsi="Times New Roman" w:cs="Times New Roman"/>
          <w:sz w:val="24"/>
          <w:szCs w:val="24"/>
        </w:rPr>
        <w:t xml:space="preserve"> so </w:t>
      </w:r>
      <w:proofErr w:type="spellStart"/>
      <w:r w:rsidR="005D6275" w:rsidRPr="00593435">
        <w:rPr>
          <w:rFonts w:ascii="Times New Roman" w:hAnsi="Times New Roman" w:cs="Times New Roman"/>
          <w:sz w:val="24"/>
          <w:szCs w:val="24"/>
        </w:rPr>
        <w:t>với</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ngân</w:t>
      </w:r>
      <w:proofErr w:type="spellEnd"/>
      <w:r w:rsidR="005D6275" w:rsidRPr="00593435">
        <w:rPr>
          <w:rFonts w:ascii="Times New Roman" w:hAnsi="Times New Roman" w:cs="Times New Roman"/>
          <w:sz w:val="24"/>
          <w:szCs w:val="24"/>
        </w:rPr>
        <w:t xml:space="preserve"> </w:t>
      </w:r>
      <w:proofErr w:type="spellStart"/>
      <w:r w:rsidR="003E5CFF" w:rsidRPr="00593435">
        <w:rPr>
          <w:rFonts w:ascii="Times New Roman" w:hAnsi="Times New Roman" w:cs="Times New Roman"/>
          <w:sz w:val="24"/>
          <w:szCs w:val="24"/>
        </w:rPr>
        <w:t>hà</w:t>
      </w:r>
      <w:r w:rsidR="005D6275" w:rsidRPr="00593435">
        <w:rPr>
          <w:rFonts w:ascii="Times New Roman" w:hAnsi="Times New Roman" w:cs="Times New Roman"/>
          <w:sz w:val="24"/>
          <w:szCs w:val="24"/>
        </w:rPr>
        <w:t>ng</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thực</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hành</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tốt</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nhất</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trên</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đường</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biên</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hiệu</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quả</w:t>
      </w:r>
      <w:proofErr w:type="spellEnd"/>
      <w:r w:rsidR="005D6275" w:rsidRPr="00593435">
        <w:rPr>
          <w:rFonts w:ascii="Times New Roman" w:hAnsi="Times New Roman" w:cs="Times New Roman"/>
          <w:sz w:val="24"/>
          <w:szCs w:val="24"/>
        </w:rPr>
        <w:t xml:space="preserve">, </w:t>
      </w:r>
      <w:proofErr w:type="spellStart"/>
      <w:r w:rsidR="003E5CFF" w:rsidRPr="00593435">
        <w:rPr>
          <w:rFonts w:ascii="Times New Roman" w:hAnsi="Times New Roman" w:cs="Times New Roman"/>
          <w:sz w:val="24"/>
          <w:szCs w:val="24"/>
        </w:rPr>
        <w:t>với</w:t>
      </w:r>
      <w:proofErr w:type="spellEnd"/>
      <w:r w:rsidR="003E5CFF"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giả</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định</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cùng</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chung</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điều</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kiện</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thị</w:t>
      </w:r>
      <w:proofErr w:type="spellEnd"/>
      <w:r w:rsidR="005D6275" w:rsidRPr="00593435">
        <w:rPr>
          <w:rFonts w:ascii="Times New Roman" w:hAnsi="Times New Roman" w:cs="Times New Roman"/>
          <w:sz w:val="24"/>
          <w:szCs w:val="24"/>
        </w:rPr>
        <w:t xml:space="preserve"> </w:t>
      </w:r>
      <w:proofErr w:type="spellStart"/>
      <w:r w:rsidR="005D6275" w:rsidRPr="00593435">
        <w:rPr>
          <w:rFonts w:ascii="Times New Roman" w:hAnsi="Times New Roman" w:cs="Times New Roman"/>
          <w:sz w:val="24"/>
          <w:szCs w:val="24"/>
        </w:rPr>
        <w:t>trường</w:t>
      </w:r>
      <w:proofErr w:type="spellEnd"/>
      <w:r w:rsidR="005D6275"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Phương</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pháp</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tiếp</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cận</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này</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được</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cho</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là</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có</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thể</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đo</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lường</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kết</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quả</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hoạt</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động</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tốt</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hơn</w:t>
      </w:r>
      <w:proofErr w:type="spellEnd"/>
      <w:r w:rsidR="00E13F18" w:rsidRPr="00593435">
        <w:rPr>
          <w:rFonts w:ascii="Times New Roman" w:hAnsi="Times New Roman" w:cs="Times New Roman"/>
          <w:sz w:val="24"/>
          <w:szCs w:val="24"/>
        </w:rPr>
        <w:t xml:space="preserve"> do </w:t>
      </w:r>
      <w:proofErr w:type="spellStart"/>
      <w:r w:rsidR="00E13F18" w:rsidRPr="00593435">
        <w:rPr>
          <w:rFonts w:ascii="Times New Roman" w:hAnsi="Times New Roman" w:cs="Times New Roman"/>
          <w:sz w:val="24"/>
          <w:szCs w:val="24"/>
        </w:rPr>
        <w:t>nó</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có</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thể</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loại</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bỏ</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sự</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khác</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biệt</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trong</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giá</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và</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các</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yếu</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tố</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thị</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trường</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có</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thể</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ảnh</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hưởng</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tới</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các</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chỉ</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số</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tài</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chính</w:t>
      </w:r>
      <w:proofErr w:type="spellEnd"/>
      <w:r w:rsidR="00E13F18" w:rsidRPr="00593435">
        <w:rPr>
          <w:rFonts w:ascii="Times New Roman" w:hAnsi="Times New Roman" w:cs="Times New Roman"/>
          <w:sz w:val="24"/>
          <w:szCs w:val="24"/>
        </w:rPr>
        <w:t xml:space="preserve">.   </w:t>
      </w:r>
    </w:p>
    <w:p w14:paraId="1ABD4865" w14:textId="6408D90F" w:rsidR="00610D29" w:rsidRPr="00610D29" w:rsidRDefault="00610D29" w:rsidP="008218C1">
      <w:pPr>
        <w:spacing w:before="120" w:after="0" w:line="312" w:lineRule="auto"/>
        <w:ind w:firstLine="720"/>
        <w:jc w:val="both"/>
        <w:rPr>
          <w:rFonts w:ascii="Times New Roman" w:hAnsi="Times New Roman" w:cs="Times New Roman"/>
          <w:sz w:val="24"/>
          <w:szCs w:val="24"/>
          <w:lang w:val="vi-VN"/>
        </w:rPr>
      </w:pPr>
      <w:proofErr w:type="spellStart"/>
      <w:r w:rsidRPr="00593435">
        <w:rPr>
          <w:rFonts w:ascii="Times New Roman" w:hAnsi="Times New Roman" w:cs="Times New Roman"/>
          <w:sz w:val="24"/>
          <w:szCs w:val="24"/>
        </w:rPr>
        <w:t>Bên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cạnh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đó</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các</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nghiên</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cứu</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trước</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đây</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đã</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chỉ</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ra</w:t>
      </w:r>
      <w:proofErr w:type="spellEnd"/>
      <w:r w:rsidR="00E13F18"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rằng</w:t>
      </w:r>
      <w:proofErr w:type="spellEnd"/>
      <w:r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sự</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phát</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triển</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tài</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chính</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đóng</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vai</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trò</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quan</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trọng</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trong</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việc</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thúc</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đẩy</w:t>
      </w:r>
      <w:proofErr w:type="spellEnd"/>
      <w:r w:rsidR="00E13F18"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tăng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trưởng</w:t>
      </w:r>
      <w:proofErr w:type="spellEnd"/>
      <w:r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kinh</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tế</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và</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hiệu</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quả</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của</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ngân</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h</w:t>
      </w:r>
      <w:r w:rsidRPr="00593435">
        <w:rPr>
          <w:rFonts w:ascii="Times New Roman" w:hAnsi="Times New Roman" w:cs="Times New Roman"/>
          <w:sz w:val="24"/>
          <w:szCs w:val="24"/>
        </w:rPr>
        <w:t>àn</w:t>
      </w:r>
      <w:r w:rsidR="00E13F18" w:rsidRPr="00593435">
        <w:rPr>
          <w:rFonts w:ascii="Times New Roman" w:hAnsi="Times New Roman" w:cs="Times New Roman"/>
          <w:sz w:val="24"/>
          <w:szCs w:val="24"/>
        </w:rPr>
        <w:t>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được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sử</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dụng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làm</w:t>
      </w:r>
      <w:proofErr w:type="spellEnd"/>
      <w:r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thước</w:t>
      </w:r>
      <w:proofErr w:type="spellEnd"/>
      <w:r w:rsidR="00E13F18" w:rsidRPr="00593435">
        <w:rPr>
          <w:rFonts w:ascii="Times New Roman" w:hAnsi="Times New Roman" w:cs="Times New Roman"/>
          <w:sz w:val="24"/>
          <w:szCs w:val="24"/>
        </w:rPr>
        <w:t xml:space="preserve"> </w:t>
      </w:r>
      <w:proofErr w:type="spellStart"/>
      <w:r w:rsidR="00E13F18" w:rsidRPr="00593435">
        <w:rPr>
          <w:rFonts w:ascii="Times New Roman" w:hAnsi="Times New Roman" w:cs="Times New Roman"/>
          <w:sz w:val="24"/>
          <w:szCs w:val="24"/>
        </w:rPr>
        <w:t>đo</w:t>
      </w:r>
      <w:proofErr w:type="spellEnd"/>
      <w:r w:rsidR="00E13F18"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chất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lượng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trung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gian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tài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chính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Trên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cơ</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sở</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dữ</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liệu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của</w:t>
      </w:r>
      <w:proofErr w:type="spellEnd"/>
      <w:r w:rsidRPr="00593435">
        <w:rPr>
          <w:rFonts w:ascii="Times New Roman" w:hAnsi="Times New Roman" w:cs="Times New Roman"/>
          <w:sz w:val="24"/>
          <w:szCs w:val="24"/>
        </w:rPr>
        <w:t xml:space="preserve"> 49 </w:t>
      </w:r>
      <w:proofErr w:type="spellStart"/>
      <w:r w:rsidRPr="00593435">
        <w:rPr>
          <w:rFonts w:ascii="Times New Roman" w:hAnsi="Times New Roman" w:cs="Times New Roman"/>
          <w:sz w:val="24"/>
          <w:szCs w:val="24"/>
        </w:rPr>
        <w:t>quốc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từ</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năm</w:t>
      </w:r>
      <w:proofErr w:type="spellEnd"/>
      <w:r w:rsidRPr="00593435">
        <w:rPr>
          <w:rFonts w:ascii="Times New Roman" w:hAnsi="Times New Roman" w:cs="Times New Roman"/>
          <w:sz w:val="24"/>
          <w:szCs w:val="24"/>
        </w:rPr>
        <w:t xml:space="preserve"> 1993 </w:t>
      </w:r>
      <w:proofErr w:type="spellStart"/>
      <w:r w:rsidRPr="00593435">
        <w:rPr>
          <w:rFonts w:ascii="Times New Roman" w:hAnsi="Times New Roman" w:cs="Times New Roman"/>
          <w:sz w:val="24"/>
          <w:szCs w:val="24"/>
        </w:rPr>
        <w:t>đến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năm</w:t>
      </w:r>
      <w:proofErr w:type="spellEnd"/>
      <w:r w:rsidRPr="00593435">
        <w:rPr>
          <w:rFonts w:ascii="Times New Roman" w:hAnsi="Times New Roman" w:cs="Times New Roman"/>
          <w:sz w:val="24"/>
          <w:szCs w:val="24"/>
        </w:rPr>
        <w:t xml:space="preserve"> 2000, </w:t>
      </w:r>
      <w:proofErr w:type="spellStart"/>
      <w:r w:rsidRPr="00593435">
        <w:rPr>
          <w:rFonts w:ascii="Times New Roman" w:hAnsi="Times New Roman" w:cs="Times New Roman"/>
          <w:sz w:val="24"/>
          <w:szCs w:val="24"/>
        </w:rPr>
        <w:t>nghiên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cứu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của</w:t>
      </w:r>
      <w:proofErr w:type="spellEnd"/>
      <w:r w:rsidRPr="00593435">
        <w:rPr>
          <w:rFonts w:ascii="Times New Roman" w:hAnsi="Times New Roman" w:cs="Times New Roman"/>
          <w:sz w:val="24"/>
          <w:szCs w:val="24"/>
        </w:rPr>
        <w:t xml:space="preserve"> Berger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cộng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sự</w:t>
      </w:r>
      <w:proofErr w:type="spellEnd"/>
      <w:r w:rsidRPr="00593435">
        <w:rPr>
          <w:rFonts w:ascii="Times New Roman" w:hAnsi="Times New Roman" w:cs="Times New Roman"/>
          <w:sz w:val="24"/>
          <w:szCs w:val="24"/>
        </w:rPr>
        <w:t xml:space="preserve"> (2004) </w:t>
      </w:r>
      <w:proofErr w:type="spellStart"/>
      <w:r w:rsidRPr="00593435">
        <w:rPr>
          <w:rFonts w:ascii="Times New Roman" w:hAnsi="Times New Roman" w:cs="Times New Roman"/>
          <w:sz w:val="24"/>
          <w:szCs w:val="24"/>
        </w:rPr>
        <w:t>cho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thấy</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xếp</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hạng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hiệu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quả</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trung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bình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của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ngân</w:t>
      </w:r>
      <w:proofErr w:type="spellEnd"/>
      <w:r w:rsidRPr="00593435">
        <w:rPr>
          <w:rFonts w:ascii="Times New Roman" w:hAnsi="Times New Roman" w:cs="Times New Roman"/>
          <w:sz w:val="24"/>
          <w:szCs w:val="24"/>
        </w:rPr>
        <w:t xml:space="preserve"> </w:t>
      </w:r>
      <w:proofErr w:type="spellStart"/>
      <w:r w:rsidR="00C75B9B">
        <w:rPr>
          <w:rFonts w:ascii="Times New Roman" w:hAnsi="Times New Roman" w:cs="Times New Roman"/>
          <w:sz w:val="24"/>
          <w:szCs w:val="24"/>
        </w:rPr>
        <w:t>hàng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có</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quan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hệ</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cùng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chiều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với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tăng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trưởng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kinh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tế</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Sử</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dụng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dữ</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liệu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của</w:t>
      </w:r>
      <w:proofErr w:type="spellEnd"/>
      <w:r w:rsidRPr="00593435">
        <w:rPr>
          <w:rFonts w:ascii="Times New Roman" w:hAnsi="Times New Roman" w:cs="Times New Roman"/>
          <w:sz w:val="24"/>
          <w:szCs w:val="24"/>
        </w:rPr>
        <w:t xml:space="preserve"> </w:t>
      </w:r>
      <w:r w:rsidRPr="00610D29">
        <w:rPr>
          <w:rFonts w:ascii="Times New Roman" w:hAnsi="Times New Roman" w:cs="Times New Roman"/>
          <w:sz w:val="24"/>
          <w:szCs w:val="24"/>
          <w:lang w:val="vi-VN"/>
        </w:rPr>
        <w:t xml:space="preserve">7.000 ngân hàng ở 147 khu vực </w:t>
      </w:r>
      <w:proofErr w:type="spellStart"/>
      <w:r w:rsidRPr="00593435">
        <w:rPr>
          <w:rFonts w:ascii="Times New Roman" w:hAnsi="Times New Roman" w:cs="Times New Roman"/>
          <w:sz w:val="24"/>
          <w:szCs w:val="24"/>
        </w:rPr>
        <w:t>tại</w:t>
      </w:r>
      <w:proofErr w:type="spellEnd"/>
      <w:r w:rsidRPr="00610D29">
        <w:rPr>
          <w:rFonts w:ascii="Times New Roman" w:hAnsi="Times New Roman" w:cs="Times New Roman"/>
          <w:sz w:val="24"/>
          <w:szCs w:val="24"/>
          <w:lang w:val="vi-VN"/>
        </w:rPr>
        <w:t xml:space="preserve"> 11 quốc gia châu Âu trong giai đoạn 1996-2004, Hasan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cộng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sự</w:t>
      </w:r>
      <w:proofErr w:type="spellEnd"/>
      <w:r w:rsidRPr="00610D29">
        <w:rPr>
          <w:rFonts w:ascii="Times New Roman" w:hAnsi="Times New Roman" w:cs="Times New Roman"/>
          <w:sz w:val="24"/>
          <w:szCs w:val="24"/>
          <w:lang w:val="vi-VN"/>
        </w:rPr>
        <w:t xml:space="preserve"> (2009) chứng minh rằng các ngân hàng</w:t>
      </w:r>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hoạt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động</w:t>
      </w:r>
      <w:proofErr w:type="spellEnd"/>
      <w:r w:rsidRPr="00610D29">
        <w:rPr>
          <w:rFonts w:ascii="Times New Roman" w:hAnsi="Times New Roman" w:cs="Times New Roman"/>
          <w:sz w:val="24"/>
          <w:szCs w:val="24"/>
          <w:lang w:val="vi-VN"/>
        </w:rPr>
        <w:t xml:space="preserve"> hiệu quả </w:t>
      </w:r>
      <w:proofErr w:type="spellStart"/>
      <w:r w:rsidR="005559EA" w:rsidRPr="00593435">
        <w:rPr>
          <w:rFonts w:ascii="Times New Roman" w:hAnsi="Times New Roman" w:cs="Times New Roman"/>
          <w:sz w:val="24"/>
          <w:szCs w:val="24"/>
        </w:rPr>
        <w:t>giúp</w:t>
      </w:r>
      <w:proofErr w:type="spellEnd"/>
      <w:r w:rsidR="005559EA" w:rsidRPr="00593435">
        <w:rPr>
          <w:rFonts w:ascii="Times New Roman" w:hAnsi="Times New Roman" w:cs="Times New Roman"/>
          <w:sz w:val="24"/>
          <w:szCs w:val="24"/>
        </w:rPr>
        <w:t xml:space="preserve"> </w:t>
      </w:r>
      <w:r w:rsidRPr="00610D29">
        <w:rPr>
          <w:rFonts w:ascii="Times New Roman" w:hAnsi="Times New Roman" w:cs="Times New Roman"/>
          <w:sz w:val="24"/>
          <w:szCs w:val="24"/>
          <w:lang w:val="vi-VN"/>
        </w:rPr>
        <w:t xml:space="preserve">thúc đẩy tăng trưởng kinh tế khu vực. Koetter và Wedow (2010) củng cố tính phù hợp của hiệu quả ngân hàng như một thước đo chất lượng của phát triển tài chính và </w:t>
      </w:r>
      <w:r w:rsidR="005559EA" w:rsidRPr="00593435">
        <w:rPr>
          <w:rFonts w:ascii="Times New Roman" w:hAnsi="Times New Roman" w:cs="Times New Roman"/>
          <w:sz w:val="24"/>
          <w:szCs w:val="24"/>
          <w:lang w:val="vi-VN"/>
        </w:rPr>
        <w:t>chỉ ra</w:t>
      </w:r>
      <w:r w:rsidRPr="00610D29">
        <w:rPr>
          <w:rFonts w:ascii="Times New Roman" w:hAnsi="Times New Roman" w:cs="Times New Roman"/>
          <w:sz w:val="24"/>
          <w:szCs w:val="24"/>
          <w:lang w:val="vi-VN"/>
        </w:rPr>
        <w:t xml:space="preserve"> tác động </w:t>
      </w:r>
      <w:r w:rsidR="005559EA" w:rsidRPr="00593435">
        <w:rPr>
          <w:rFonts w:ascii="Times New Roman" w:hAnsi="Times New Roman" w:cs="Times New Roman"/>
          <w:sz w:val="24"/>
          <w:szCs w:val="24"/>
          <w:lang w:val="vi-VN"/>
        </w:rPr>
        <w:t>cùng chiều</w:t>
      </w:r>
      <w:r w:rsidRPr="00610D29">
        <w:rPr>
          <w:rFonts w:ascii="Times New Roman" w:hAnsi="Times New Roman" w:cs="Times New Roman"/>
          <w:sz w:val="24"/>
          <w:szCs w:val="24"/>
          <w:lang w:val="vi-VN"/>
        </w:rPr>
        <w:t xml:space="preserve"> của </w:t>
      </w:r>
      <w:r w:rsidR="005559EA" w:rsidRPr="00593435">
        <w:rPr>
          <w:rFonts w:ascii="Times New Roman" w:hAnsi="Times New Roman" w:cs="Times New Roman"/>
          <w:sz w:val="24"/>
          <w:szCs w:val="24"/>
          <w:lang w:val="vi-VN"/>
        </w:rPr>
        <w:t>đại lượng</w:t>
      </w:r>
      <w:r w:rsidRPr="00610D29">
        <w:rPr>
          <w:rFonts w:ascii="Times New Roman" w:hAnsi="Times New Roman" w:cs="Times New Roman"/>
          <w:sz w:val="24"/>
          <w:szCs w:val="24"/>
          <w:lang w:val="vi-VN"/>
        </w:rPr>
        <w:t xml:space="preserve"> này với tăng trưởng</w:t>
      </w:r>
      <w:r w:rsidR="005559EA" w:rsidRPr="00593435">
        <w:rPr>
          <w:rFonts w:ascii="Times New Roman" w:hAnsi="Times New Roman" w:cs="Times New Roman"/>
          <w:sz w:val="24"/>
          <w:szCs w:val="24"/>
          <w:lang w:val="vi-VN"/>
        </w:rPr>
        <w:t xml:space="preserve"> kinh tế</w:t>
      </w:r>
      <w:r w:rsidRPr="00610D29">
        <w:rPr>
          <w:rFonts w:ascii="Times New Roman" w:hAnsi="Times New Roman" w:cs="Times New Roman"/>
          <w:sz w:val="24"/>
          <w:szCs w:val="24"/>
          <w:lang w:val="vi-VN"/>
        </w:rPr>
        <w:t xml:space="preserve"> khu vực ở Đức.</w:t>
      </w:r>
    </w:p>
    <w:p w14:paraId="6A8F117F" w14:textId="741CCAF1" w:rsidR="003E5CFF" w:rsidRPr="00593435" w:rsidRDefault="00E13F18" w:rsidP="008218C1">
      <w:pPr>
        <w:spacing w:before="120" w:after="0" w:line="312" w:lineRule="auto"/>
        <w:ind w:firstLine="720"/>
        <w:jc w:val="both"/>
        <w:rPr>
          <w:rFonts w:ascii="Times New Roman" w:hAnsi="Times New Roman" w:cs="Times New Roman"/>
          <w:sz w:val="24"/>
          <w:szCs w:val="24"/>
          <w:lang w:val="vi-VN"/>
        </w:rPr>
      </w:pPr>
      <w:r w:rsidRPr="00593435">
        <w:rPr>
          <w:rFonts w:ascii="Times New Roman" w:hAnsi="Times New Roman" w:cs="Times New Roman"/>
          <w:sz w:val="24"/>
          <w:szCs w:val="24"/>
          <w:lang w:val="vi-VN"/>
        </w:rPr>
        <w:t>Do hiệu quả ngân h</w:t>
      </w:r>
      <w:r w:rsidR="003E5CFF" w:rsidRPr="00593435">
        <w:rPr>
          <w:rFonts w:ascii="Times New Roman" w:hAnsi="Times New Roman" w:cs="Times New Roman"/>
          <w:sz w:val="24"/>
          <w:szCs w:val="24"/>
          <w:lang w:val="vi-VN"/>
        </w:rPr>
        <w:t>à</w:t>
      </w:r>
      <w:r w:rsidRPr="00593435">
        <w:rPr>
          <w:rFonts w:ascii="Times New Roman" w:hAnsi="Times New Roman" w:cs="Times New Roman"/>
          <w:sz w:val="24"/>
          <w:szCs w:val="24"/>
          <w:lang w:val="vi-VN"/>
        </w:rPr>
        <w:t xml:space="preserve">ng đóng vai trò quan trọng đối với sự phát triển kinh tế và việc bình đẳng giới trong HĐQT ngày càng </w:t>
      </w:r>
      <w:r w:rsidR="003E5CFF" w:rsidRPr="00593435">
        <w:rPr>
          <w:rFonts w:ascii="Times New Roman" w:hAnsi="Times New Roman" w:cs="Times New Roman"/>
          <w:sz w:val="24"/>
          <w:szCs w:val="24"/>
          <w:lang w:val="vi-VN"/>
        </w:rPr>
        <w:t>được quan tâm</w:t>
      </w:r>
      <w:r w:rsidRPr="00593435">
        <w:rPr>
          <w:rFonts w:ascii="Times New Roman" w:hAnsi="Times New Roman" w:cs="Times New Roman"/>
          <w:sz w:val="24"/>
          <w:szCs w:val="24"/>
          <w:lang w:val="vi-VN"/>
        </w:rPr>
        <w:t xml:space="preserve">, </w:t>
      </w:r>
      <w:r w:rsidR="003E5CFF" w:rsidRPr="00593435">
        <w:rPr>
          <w:rFonts w:ascii="Times New Roman" w:hAnsi="Times New Roman" w:cs="Times New Roman"/>
          <w:sz w:val="24"/>
          <w:szCs w:val="24"/>
          <w:lang w:val="vi-VN"/>
        </w:rPr>
        <w:t xml:space="preserve">tác giả nhận thấy </w:t>
      </w:r>
      <w:r w:rsidRPr="00593435">
        <w:rPr>
          <w:rFonts w:ascii="Times New Roman" w:hAnsi="Times New Roman" w:cs="Times New Roman"/>
          <w:sz w:val="24"/>
          <w:szCs w:val="24"/>
          <w:lang w:val="vi-VN"/>
        </w:rPr>
        <w:t xml:space="preserve">cần thiết phải có </w:t>
      </w:r>
      <w:r w:rsidR="003E5CFF" w:rsidRPr="00593435">
        <w:rPr>
          <w:rFonts w:ascii="Times New Roman" w:hAnsi="Times New Roman" w:cs="Times New Roman"/>
          <w:sz w:val="24"/>
          <w:szCs w:val="24"/>
          <w:lang w:val="vi-VN"/>
        </w:rPr>
        <w:t>nghiên</w:t>
      </w:r>
      <w:r w:rsidRPr="00593435">
        <w:rPr>
          <w:rFonts w:ascii="Times New Roman" w:hAnsi="Times New Roman" w:cs="Times New Roman"/>
          <w:sz w:val="24"/>
          <w:szCs w:val="24"/>
          <w:lang w:val="vi-VN"/>
        </w:rPr>
        <w:t xml:space="preserve"> cứu đánh giá tác động của bình đẳng giới </w:t>
      </w:r>
      <w:r w:rsidR="003E5CFF" w:rsidRPr="00593435">
        <w:rPr>
          <w:rFonts w:ascii="Times New Roman" w:hAnsi="Times New Roman" w:cs="Times New Roman"/>
          <w:sz w:val="24"/>
          <w:szCs w:val="24"/>
          <w:lang w:val="vi-VN"/>
        </w:rPr>
        <w:t xml:space="preserve">HĐQT </w:t>
      </w:r>
      <w:r w:rsidR="00C67C35" w:rsidRPr="00C67C35">
        <w:rPr>
          <w:rFonts w:ascii="Times New Roman" w:hAnsi="Times New Roman" w:cs="Times New Roman"/>
          <w:sz w:val="24"/>
          <w:szCs w:val="24"/>
          <w:lang w:val="vi-VN"/>
        </w:rPr>
        <w:t xml:space="preserve">với </w:t>
      </w:r>
      <w:r w:rsidRPr="00593435">
        <w:rPr>
          <w:rFonts w:ascii="Times New Roman" w:hAnsi="Times New Roman" w:cs="Times New Roman"/>
          <w:sz w:val="24"/>
          <w:szCs w:val="24"/>
          <w:lang w:val="vi-VN"/>
        </w:rPr>
        <w:t>hiệu quả ngân h</w:t>
      </w:r>
      <w:r w:rsidR="003E5CFF" w:rsidRPr="00593435">
        <w:rPr>
          <w:rFonts w:ascii="Times New Roman" w:hAnsi="Times New Roman" w:cs="Times New Roman"/>
          <w:sz w:val="24"/>
          <w:szCs w:val="24"/>
          <w:lang w:val="vi-VN"/>
        </w:rPr>
        <w:t>àng, để từ đó có những kiến nghị phù hợp cho các nhà hoạch định chính sách và nhà quản lý ngân h</w:t>
      </w:r>
      <w:r w:rsidR="006434A3" w:rsidRPr="00593435">
        <w:rPr>
          <w:rFonts w:ascii="Times New Roman" w:hAnsi="Times New Roman" w:cs="Times New Roman"/>
          <w:sz w:val="24"/>
          <w:szCs w:val="24"/>
          <w:lang w:val="vi-VN"/>
        </w:rPr>
        <w:t>à</w:t>
      </w:r>
      <w:r w:rsidR="003E5CFF" w:rsidRPr="00593435">
        <w:rPr>
          <w:rFonts w:ascii="Times New Roman" w:hAnsi="Times New Roman" w:cs="Times New Roman"/>
          <w:sz w:val="24"/>
          <w:szCs w:val="24"/>
          <w:lang w:val="vi-VN"/>
        </w:rPr>
        <w:t>ng.</w:t>
      </w:r>
      <w:r w:rsidR="006434A3" w:rsidRPr="00593435">
        <w:rPr>
          <w:rFonts w:ascii="Times New Roman" w:hAnsi="Times New Roman" w:cs="Times New Roman"/>
          <w:sz w:val="24"/>
          <w:szCs w:val="24"/>
          <w:lang w:val="vi-VN"/>
        </w:rPr>
        <w:t xml:space="preserve"> Bài viết này sử dụng dữ liệu của 485 ngân hàng ở 39 quốc gia trong giai đoạn 2004-2018 để nghiên cứu mối quan hệ giữa bình đẳng giới HĐQT và hiệu quả lợi nhuận </w:t>
      </w:r>
      <w:r w:rsidR="00A510C8" w:rsidRPr="00593435">
        <w:rPr>
          <w:rFonts w:ascii="Times New Roman" w:hAnsi="Times New Roman" w:cs="Times New Roman"/>
          <w:sz w:val="24"/>
          <w:szCs w:val="24"/>
          <w:lang w:val="vi-VN"/>
        </w:rPr>
        <w:t>và</w:t>
      </w:r>
      <w:r w:rsidR="006434A3" w:rsidRPr="00593435">
        <w:rPr>
          <w:rFonts w:ascii="Times New Roman" w:hAnsi="Times New Roman" w:cs="Times New Roman"/>
          <w:sz w:val="24"/>
          <w:szCs w:val="24"/>
          <w:lang w:val="vi-VN"/>
        </w:rPr>
        <w:t xml:space="preserve"> chi phí của các ngân hàng thương mại và vai trò điều tiết của yếu tố văn hóa đối với mối quan hệ này.</w:t>
      </w:r>
    </w:p>
    <w:p w14:paraId="0D9F27EE" w14:textId="15620654" w:rsidR="00844F1B" w:rsidRDefault="00E11612" w:rsidP="008218C1">
      <w:pPr>
        <w:pStyle w:val="ListParagraph"/>
        <w:numPr>
          <w:ilvl w:val="0"/>
          <w:numId w:val="1"/>
        </w:numPr>
        <w:tabs>
          <w:tab w:val="left" w:pos="630"/>
        </w:tabs>
        <w:spacing w:before="120" w:after="0" w:line="312" w:lineRule="auto"/>
        <w:ind w:left="0" w:firstLine="0"/>
        <w:contextualSpacing w:val="0"/>
        <w:jc w:val="both"/>
        <w:rPr>
          <w:rFonts w:ascii="Times New Roman" w:hAnsi="Times New Roman" w:cs="Times New Roman"/>
          <w:b/>
          <w:bCs/>
          <w:sz w:val="24"/>
          <w:szCs w:val="24"/>
          <w:lang w:val="vi-VN"/>
        </w:rPr>
      </w:pPr>
      <w:r w:rsidRPr="00E11612">
        <w:rPr>
          <w:rFonts w:ascii="Times New Roman" w:hAnsi="Times New Roman" w:cs="Times New Roman"/>
          <w:b/>
          <w:bCs/>
          <w:sz w:val="24"/>
          <w:szCs w:val="24"/>
          <w:lang w:val="vi-VN"/>
        </w:rPr>
        <w:t>CƠ SỞ LÝ THUYẾT VÀ PHƯƠNG PHÁP NGHIÊN CỨU</w:t>
      </w:r>
    </w:p>
    <w:p w14:paraId="6C9971FF" w14:textId="60EF5071" w:rsidR="00E11612" w:rsidRPr="00E11612" w:rsidRDefault="00E11612" w:rsidP="008218C1">
      <w:pPr>
        <w:pStyle w:val="ListParagraph"/>
        <w:numPr>
          <w:ilvl w:val="1"/>
          <w:numId w:val="1"/>
        </w:numPr>
        <w:spacing w:before="120" w:after="0" w:line="312" w:lineRule="auto"/>
        <w:ind w:left="630" w:hanging="630"/>
        <w:contextualSpacing w:val="0"/>
        <w:jc w:val="both"/>
        <w:rPr>
          <w:rFonts w:ascii="Times New Roman" w:hAnsi="Times New Roman" w:cs="Times New Roman"/>
          <w:b/>
          <w:bCs/>
          <w:sz w:val="24"/>
          <w:szCs w:val="24"/>
        </w:rPr>
      </w:pPr>
      <w:proofErr w:type="spellStart"/>
      <w:r>
        <w:rPr>
          <w:rFonts w:ascii="Times New Roman" w:hAnsi="Times New Roman" w:cs="Times New Roman"/>
          <w:b/>
          <w:bCs/>
          <w:sz w:val="24"/>
          <w:szCs w:val="24"/>
        </w:rPr>
        <w:t>Cơ</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sở</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lý</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thuyết</w:t>
      </w:r>
      <w:proofErr w:type="spellEnd"/>
    </w:p>
    <w:p w14:paraId="2DCB936E" w14:textId="30F2610E" w:rsidR="00265FC1" w:rsidRPr="00593435" w:rsidRDefault="00265FC1" w:rsidP="008218C1">
      <w:pPr>
        <w:pStyle w:val="ListParagraph"/>
        <w:numPr>
          <w:ilvl w:val="2"/>
          <w:numId w:val="1"/>
        </w:numPr>
        <w:tabs>
          <w:tab w:val="left" w:pos="990"/>
        </w:tabs>
        <w:spacing w:before="120" w:after="0" w:line="312" w:lineRule="auto"/>
        <w:ind w:left="630" w:hanging="630"/>
        <w:contextualSpacing w:val="0"/>
        <w:jc w:val="both"/>
        <w:rPr>
          <w:rFonts w:ascii="Times New Roman" w:hAnsi="Times New Roman" w:cs="Times New Roman"/>
          <w:b/>
          <w:bCs/>
          <w:i/>
          <w:iCs/>
          <w:sz w:val="24"/>
          <w:szCs w:val="24"/>
          <w:lang w:val="vi-VN"/>
        </w:rPr>
      </w:pPr>
      <w:r w:rsidRPr="00593435">
        <w:rPr>
          <w:rFonts w:ascii="Times New Roman" w:hAnsi="Times New Roman" w:cs="Times New Roman"/>
          <w:b/>
          <w:bCs/>
          <w:i/>
          <w:iCs/>
          <w:sz w:val="24"/>
          <w:szCs w:val="24"/>
          <w:lang w:val="vi-VN"/>
        </w:rPr>
        <w:t>Mối quan hệ giữa bình đẳng giới HĐQT và lợi nhuận, chi phí của ngân hàng</w:t>
      </w:r>
    </w:p>
    <w:p w14:paraId="75E39EC0" w14:textId="0C0A27EA" w:rsidR="00844F1B" w:rsidRPr="00593435" w:rsidRDefault="00844F1B" w:rsidP="008218C1">
      <w:pPr>
        <w:spacing w:before="120" w:after="0" w:line="312" w:lineRule="auto"/>
        <w:ind w:firstLine="630"/>
        <w:jc w:val="both"/>
        <w:rPr>
          <w:rFonts w:ascii="Times New Roman" w:hAnsi="Times New Roman" w:cs="Times New Roman"/>
          <w:b/>
          <w:bCs/>
          <w:sz w:val="24"/>
          <w:szCs w:val="24"/>
          <w:lang w:val="vi-VN"/>
        </w:rPr>
      </w:pPr>
      <w:r w:rsidRPr="00593435">
        <w:rPr>
          <w:rFonts w:ascii="Times New Roman" w:hAnsi="Times New Roman" w:cs="Times New Roman"/>
          <w:sz w:val="24"/>
          <w:szCs w:val="24"/>
          <w:lang w:val="vi-VN"/>
        </w:rPr>
        <w:t xml:space="preserve">Ảnh hưởng tích cực của bình đẳng giới trong HĐQT đối với hoạt động của ngân hàng nói riêng và doanh nghiệp nói chung đã được chứng minh trong nhiều nghiên cứu trước đây. Các nữ lãnh đạo có thể cải thiện việc ra quyết định của HĐQT bằng cách mang đến những kinh nghiệm, quan điểm và phong cách làm việc độc đáo cũng như nền tảng nghề nghiệp và trình độ học vấn khác so với các đồng nghiệp nam (Hillman và cộng sự, 2002). Ngoài ra, các </w:t>
      </w:r>
      <w:r w:rsidR="00A510C8" w:rsidRPr="00593435">
        <w:rPr>
          <w:rFonts w:ascii="Times New Roman" w:hAnsi="Times New Roman" w:cs="Times New Roman"/>
          <w:sz w:val="24"/>
          <w:szCs w:val="24"/>
          <w:lang w:val="vi-VN"/>
        </w:rPr>
        <w:t>HĐQT</w:t>
      </w:r>
      <w:r w:rsidRPr="00593435">
        <w:rPr>
          <w:rFonts w:ascii="Times New Roman" w:hAnsi="Times New Roman" w:cs="Times New Roman"/>
          <w:sz w:val="24"/>
          <w:szCs w:val="24"/>
          <w:lang w:val="vi-VN"/>
        </w:rPr>
        <w:t xml:space="preserve"> có sự bình đẳng về giới thường có nhiều tương tác cạnh tranh hơn và do đó, có thể đưa ra các quyết định toàn diện và thấu đáo hơn (Chen và cộng sự, 2016). Bên cạnh đó, Adams và Ferreira (2009) nhận thấy rằng các thành viên nữ có xu hướng được bổ nhiệm vào các ủy ban có liên quan đến hoạt động giám sát nhiều hơn và họ có thể giảm thiểu được vấn đề vắng mặt trong các cuộc họp HĐQT. Điều này cho thấy chức năng giám sát của </w:t>
      </w:r>
      <w:r w:rsidR="00675A42" w:rsidRPr="00593435">
        <w:rPr>
          <w:rFonts w:ascii="Times New Roman" w:hAnsi="Times New Roman" w:cs="Times New Roman"/>
          <w:sz w:val="24"/>
          <w:szCs w:val="24"/>
          <w:lang w:val="vi-VN"/>
        </w:rPr>
        <w:t>HĐQT</w:t>
      </w:r>
      <w:r w:rsidRPr="00593435">
        <w:rPr>
          <w:rFonts w:ascii="Times New Roman" w:hAnsi="Times New Roman" w:cs="Times New Roman"/>
          <w:sz w:val="24"/>
          <w:szCs w:val="24"/>
          <w:lang w:val="vi-VN"/>
        </w:rPr>
        <w:t xml:space="preserve"> được cải thiện </w:t>
      </w:r>
      <w:r w:rsidR="00675A42" w:rsidRPr="00593435">
        <w:rPr>
          <w:rFonts w:ascii="Times New Roman" w:hAnsi="Times New Roman" w:cs="Times New Roman"/>
          <w:sz w:val="24"/>
          <w:szCs w:val="24"/>
          <w:lang w:val="vi-VN"/>
        </w:rPr>
        <w:t>khi có nhiều thành viên nữ hơn</w:t>
      </w:r>
      <w:r w:rsidRPr="00593435">
        <w:rPr>
          <w:rFonts w:ascii="Times New Roman" w:hAnsi="Times New Roman" w:cs="Times New Roman"/>
          <w:sz w:val="24"/>
          <w:szCs w:val="24"/>
          <w:lang w:val="vi-VN"/>
        </w:rPr>
        <w:t xml:space="preserve">. </w:t>
      </w:r>
      <w:r w:rsidR="00675A42" w:rsidRPr="00593435">
        <w:rPr>
          <w:rFonts w:ascii="Times New Roman" w:hAnsi="Times New Roman" w:cs="Times New Roman"/>
          <w:sz w:val="24"/>
          <w:szCs w:val="24"/>
          <w:lang w:val="vi-VN"/>
        </w:rPr>
        <w:t xml:space="preserve">Vai </w:t>
      </w:r>
      <w:r w:rsidR="00675A42" w:rsidRPr="00593435">
        <w:rPr>
          <w:rFonts w:ascii="Times New Roman" w:hAnsi="Times New Roman" w:cs="Times New Roman"/>
          <w:sz w:val="24"/>
          <w:szCs w:val="24"/>
          <w:lang w:val="vi-VN"/>
        </w:rPr>
        <w:lastRenderedPageBreak/>
        <w:t>trò của nữ thành viên trong việc tăng</w:t>
      </w:r>
      <w:r w:rsidRPr="00593435">
        <w:rPr>
          <w:rFonts w:ascii="Times New Roman" w:hAnsi="Times New Roman" w:cs="Times New Roman"/>
          <w:sz w:val="24"/>
          <w:szCs w:val="24"/>
          <w:lang w:val="vi-VN"/>
        </w:rPr>
        <w:t xml:space="preserve"> cường </w:t>
      </w:r>
      <w:r w:rsidR="00675A42" w:rsidRPr="00593435">
        <w:rPr>
          <w:rFonts w:ascii="Times New Roman" w:hAnsi="Times New Roman" w:cs="Times New Roman"/>
          <w:sz w:val="24"/>
          <w:szCs w:val="24"/>
          <w:lang w:val="vi-VN"/>
        </w:rPr>
        <w:t xml:space="preserve">chức năng </w:t>
      </w:r>
      <w:r w:rsidRPr="00593435">
        <w:rPr>
          <w:rFonts w:ascii="Times New Roman" w:hAnsi="Times New Roman" w:cs="Times New Roman"/>
          <w:sz w:val="24"/>
          <w:szCs w:val="24"/>
          <w:lang w:val="vi-VN"/>
        </w:rPr>
        <w:t xml:space="preserve">giám sát của </w:t>
      </w:r>
      <w:r w:rsidR="00675A42" w:rsidRPr="00593435">
        <w:rPr>
          <w:rFonts w:ascii="Times New Roman" w:hAnsi="Times New Roman" w:cs="Times New Roman"/>
          <w:sz w:val="24"/>
          <w:szCs w:val="24"/>
          <w:lang w:val="vi-VN"/>
        </w:rPr>
        <w:t>HĐQT</w:t>
      </w:r>
      <w:r w:rsidRPr="00593435">
        <w:rPr>
          <w:rFonts w:ascii="Times New Roman" w:hAnsi="Times New Roman" w:cs="Times New Roman"/>
          <w:sz w:val="24"/>
          <w:szCs w:val="24"/>
          <w:lang w:val="vi-VN"/>
        </w:rPr>
        <w:t xml:space="preserve"> đặc biệt có </w:t>
      </w:r>
      <w:r w:rsidR="00871545" w:rsidRPr="00593435">
        <w:rPr>
          <w:rFonts w:ascii="Times New Roman" w:hAnsi="Times New Roman" w:cs="Times New Roman"/>
          <w:sz w:val="24"/>
          <w:szCs w:val="24"/>
          <w:lang w:val="vi-VN"/>
        </w:rPr>
        <w:t>ý nghĩa</w:t>
      </w:r>
      <w:r w:rsidRPr="00593435">
        <w:rPr>
          <w:rFonts w:ascii="Times New Roman" w:hAnsi="Times New Roman" w:cs="Times New Roman"/>
          <w:sz w:val="24"/>
          <w:szCs w:val="24"/>
          <w:lang w:val="vi-VN"/>
        </w:rPr>
        <w:t xml:space="preserve"> đối với </w:t>
      </w:r>
      <w:r w:rsidR="00675A42" w:rsidRPr="00593435">
        <w:rPr>
          <w:rFonts w:ascii="Times New Roman" w:hAnsi="Times New Roman" w:cs="Times New Roman"/>
          <w:sz w:val="24"/>
          <w:szCs w:val="24"/>
          <w:lang w:val="vi-VN"/>
        </w:rPr>
        <w:t>các doanh nghiệp</w:t>
      </w:r>
      <w:r w:rsidRPr="00593435">
        <w:rPr>
          <w:rFonts w:ascii="Times New Roman" w:hAnsi="Times New Roman" w:cs="Times New Roman"/>
          <w:sz w:val="24"/>
          <w:szCs w:val="24"/>
          <w:lang w:val="vi-VN"/>
        </w:rPr>
        <w:t xml:space="preserve"> có quản trị công ty yếu kém (Adams &amp; Ferreira, 2009; Gul và cộng sự, 2011).</w:t>
      </w:r>
    </w:p>
    <w:p w14:paraId="384E2A01" w14:textId="72A72140" w:rsidR="000A53C8" w:rsidRPr="00C75B9B" w:rsidRDefault="000A53C8" w:rsidP="008218C1">
      <w:pPr>
        <w:spacing w:before="120" w:after="0" w:line="312" w:lineRule="auto"/>
        <w:ind w:firstLine="630"/>
        <w:jc w:val="both"/>
        <w:rPr>
          <w:rFonts w:ascii="Times New Roman" w:hAnsi="Times New Roman" w:cs="Times New Roman"/>
          <w:sz w:val="24"/>
          <w:szCs w:val="24"/>
          <w:lang w:val="vi-VN"/>
        </w:rPr>
      </w:pPr>
      <w:r w:rsidRPr="00593435">
        <w:rPr>
          <w:rFonts w:ascii="Times New Roman" w:hAnsi="Times New Roman" w:cs="Times New Roman"/>
          <w:sz w:val="24"/>
          <w:szCs w:val="24"/>
          <w:lang w:val="vi-VN"/>
        </w:rPr>
        <w:t xml:space="preserve">Tuy nhiên, theo Milliken và Martins (1996), sự đa dạng của HĐQT có thể được coi là “con dao hai lưỡi” tạo ra cả cơ hội và thách thức cho doanh nghiệp. Cụ thể, </w:t>
      </w:r>
      <w:r w:rsidR="00871545" w:rsidRPr="00593435">
        <w:rPr>
          <w:rFonts w:ascii="Times New Roman" w:hAnsi="Times New Roman" w:cs="Times New Roman"/>
          <w:sz w:val="24"/>
          <w:szCs w:val="24"/>
          <w:lang w:val="vi-VN"/>
        </w:rPr>
        <w:t>các HĐQT đa dạng với nhiều quan điểm khác nhau sẽ mất</w:t>
      </w:r>
      <w:r w:rsidRPr="00593435">
        <w:rPr>
          <w:rFonts w:ascii="Times New Roman" w:hAnsi="Times New Roman" w:cs="Times New Roman"/>
          <w:sz w:val="24"/>
          <w:szCs w:val="24"/>
          <w:lang w:val="vi-VN"/>
        </w:rPr>
        <w:t xml:space="preserve"> nhiều thời gian và khó khăn hơn để đạt được sự đồng thuận trong việc đưa ra quyết định (Rose, 2007)</w:t>
      </w:r>
      <w:r w:rsidR="00871545" w:rsidRPr="00593435">
        <w:rPr>
          <w:rFonts w:ascii="Times New Roman" w:hAnsi="Times New Roman" w:cs="Times New Roman"/>
          <w:sz w:val="24"/>
          <w:szCs w:val="24"/>
          <w:lang w:val="vi-VN"/>
        </w:rPr>
        <w:t xml:space="preserve">. </w:t>
      </w:r>
      <w:r w:rsidRPr="00593435">
        <w:rPr>
          <w:rFonts w:ascii="Times New Roman" w:hAnsi="Times New Roman" w:cs="Times New Roman"/>
          <w:sz w:val="24"/>
          <w:szCs w:val="24"/>
          <w:lang w:val="vi-VN"/>
        </w:rPr>
        <w:t>Một số nghiên cứu thực nghiệm tìm hiểu mối quan hệ giữa nữ thành viên HĐQT và lợi nhuận trong các ngân h</w:t>
      </w:r>
      <w:r w:rsidR="003E074E" w:rsidRPr="00593435">
        <w:rPr>
          <w:rFonts w:ascii="Times New Roman" w:hAnsi="Times New Roman" w:cs="Times New Roman"/>
          <w:sz w:val="24"/>
          <w:szCs w:val="24"/>
          <w:lang w:val="vi-VN"/>
        </w:rPr>
        <w:t>à</w:t>
      </w:r>
      <w:r w:rsidRPr="00593435">
        <w:rPr>
          <w:rFonts w:ascii="Times New Roman" w:hAnsi="Times New Roman" w:cs="Times New Roman"/>
          <w:sz w:val="24"/>
          <w:szCs w:val="24"/>
          <w:lang w:val="vi-VN"/>
        </w:rPr>
        <w:t xml:space="preserve">ng thương mại, nhưng bản chất của mối quan hệ vẫn chưa rõ ràng. Pathan và Faff (2013) và García-Meca </w:t>
      </w:r>
      <w:r w:rsidR="003E074E" w:rsidRPr="00593435">
        <w:rPr>
          <w:rFonts w:ascii="Times New Roman" w:hAnsi="Times New Roman" w:cs="Times New Roman"/>
          <w:sz w:val="24"/>
          <w:szCs w:val="24"/>
          <w:lang w:val="vi-VN"/>
        </w:rPr>
        <w:t>và cộng sự</w:t>
      </w:r>
      <w:r w:rsidRPr="00593435">
        <w:rPr>
          <w:rFonts w:ascii="Times New Roman" w:hAnsi="Times New Roman" w:cs="Times New Roman"/>
          <w:sz w:val="24"/>
          <w:szCs w:val="24"/>
          <w:lang w:val="vi-VN"/>
        </w:rPr>
        <w:t xml:space="preserve"> (2015) ủng hộ lợi ích kinh tế của các nữ thành viên HĐQT bằng cách chứng minh rằng </w:t>
      </w:r>
      <w:r w:rsidR="003E074E" w:rsidRPr="00593435">
        <w:rPr>
          <w:rFonts w:ascii="Times New Roman" w:hAnsi="Times New Roman" w:cs="Times New Roman"/>
          <w:sz w:val="24"/>
          <w:szCs w:val="24"/>
          <w:lang w:val="vi-VN"/>
        </w:rPr>
        <w:t xml:space="preserve">bình đẳng giới </w:t>
      </w:r>
      <w:r w:rsidRPr="00593435">
        <w:rPr>
          <w:rFonts w:ascii="Times New Roman" w:hAnsi="Times New Roman" w:cs="Times New Roman"/>
          <w:sz w:val="24"/>
          <w:szCs w:val="24"/>
          <w:lang w:val="vi-VN"/>
        </w:rPr>
        <w:t xml:space="preserve">sẽ </w:t>
      </w:r>
      <w:r w:rsidR="003E074E" w:rsidRPr="00593435">
        <w:rPr>
          <w:rFonts w:ascii="Times New Roman" w:hAnsi="Times New Roman" w:cs="Times New Roman"/>
          <w:sz w:val="24"/>
          <w:szCs w:val="24"/>
          <w:lang w:val="vi-VN"/>
        </w:rPr>
        <w:t xml:space="preserve">giúp </w:t>
      </w:r>
      <w:r w:rsidRPr="00593435">
        <w:rPr>
          <w:rFonts w:ascii="Times New Roman" w:hAnsi="Times New Roman" w:cs="Times New Roman"/>
          <w:sz w:val="24"/>
          <w:szCs w:val="24"/>
          <w:lang w:val="vi-VN"/>
        </w:rPr>
        <w:t xml:space="preserve">cải thiện </w:t>
      </w:r>
      <w:r w:rsidR="003E074E" w:rsidRPr="00593435">
        <w:rPr>
          <w:rFonts w:ascii="Times New Roman" w:hAnsi="Times New Roman" w:cs="Times New Roman"/>
          <w:sz w:val="24"/>
          <w:szCs w:val="24"/>
          <w:lang w:val="vi-VN"/>
        </w:rPr>
        <w:t>kết quả</w:t>
      </w:r>
      <w:r w:rsidRPr="00593435">
        <w:rPr>
          <w:rFonts w:ascii="Times New Roman" w:hAnsi="Times New Roman" w:cs="Times New Roman"/>
          <w:sz w:val="24"/>
          <w:szCs w:val="24"/>
          <w:lang w:val="vi-VN"/>
        </w:rPr>
        <w:t xml:space="preserve"> hoạt động của ngân hàng. </w:t>
      </w:r>
      <w:r w:rsidR="003E074E" w:rsidRPr="00593435">
        <w:rPr>
          <w:rFonts w:ascii="Times New Roman" w:hAnsi="Times New Roman" w:cs="Times New Roman"/>
          <w:sz w:val="24"/>
          <w:szCs w:val="24"/>
          <w:lang w:val="vi-VN"/>
        </w:rPr>
        <w:t xml:space="preserve">Trong khi đó, </w:t>
      </w:r>
      <w:r w:rsidRPr="00593435">
        <w:rPr>
          <w:rFonts w:ascii="Times New Roman" w:hAnsi="Times New Roman" w:cs="Times New Roman"/>
          <w:sz w:val="24"/>
          <w:szCs w:val="24"/>
          <w:lang w:val="vi-VN"/>
        </w:rPr>
        <w:t xml:space="preserve">Owen và Temesvary (2018) nhấn mạnh rằng mối quan hệ này có hình chữ U và nó chỉ trở nên tích cực khi </w:t>
      </w:r>
      <w:r w:rsidR="003E074E" w:rsidRPr="00593435">
        <w:rPr>
          <w:rFonts w:ascii="Times New Roman" w:hAnsi="Times New Roman" w:cs="Times New Roman"/>
          <w:sz w:val="24"/>
          <w:szCs w:val="24"/>
          <w:lang w:val="vi-VN"/>
        </w:rPr>
        <w:t xml:space="preserve">HĐQT </w:t>
      </w:r>
      <w:r w:rsidRPr="00593435">
        <w:rPr>
          <w:rFonts w:ascii="Times New Roman" w:hAnsi="Times New Roman" w:cs="Times New Roman"/>
          <w:sz w:val="24"/>
          <w:szCs w:val="24"/>
          <w:lang w:val="vi-VN"/>
        </w:rPr>
        <w:t xml:space="preserve">đã có ít nhất một nữ </w:t>
      </w:r>
      <w:r w:rsidR="003E074E" w:rsidRPr="00593435">
        <w:rPr>
          <w:rFonts w:ascii="Times New Roman" w:hAnsi="Times New Roman" w:cs="Times New Roman"/>
          <w:sz w:val="24"/>
          <w:szCs w:val="24"/>
          <w:lang w:val="vi-VN"/>
        </w:rPr>
        <w:t>thành viên</w:t>
      </w:r>
      <w:r w:rsidRPr="00593435">
        <w:rPr>
          <w:rFonts w:ascii="Times New Roman" w:hAnsi="Times New Roman" w:cs="Times New Roman"/>
          <w:sz w:val="24"/>
          <w:szCs w:val="24"/>
          <w:lang w:val="vi-VN"/>
        </w:rPr>
        <w:t xml:space="preserve">. Mặt khác, Farag và Mallin (2017) cho rằng khi vượt quá ngưỡng giới hạn 21% và 23%, tác động tích cực của </w:t>
      </w:r>
      <w:r w:rsidR="003E074E" w:rsidRPr="00593435">
        <w:rPr>
          <w:rFonts w:ascii="Times New Roman" w:hAnsi="Times New Roman" w:cs="Times New Roman"/>
          <w:sz w:val="24"/>
          <w:szCs w:val="24"/>
          <w:lang w:val="vi-VN"/>
        </w:rPr>
        <w:t>nữ thành viên HĐQT</w:t>
      </w:r>
      <w:r w:rsidRPr="00593435">
        <w:rPr>
          <w:rFonts w:ascii="Times New Roman" w:hAnsi="Times New Roman" w:cs="Times New Roman"/>
          <w:sz w:val="24"/>
          <w:szCs w:val="24"/>
          <w:lang w:val="vi-VN"/>
        </w:rPr>
        <w:t xml:space="preserve"> đối với </w:t>
      </w:r>
      <w:r w:rsidR="003E074E" w:rsidRPr="00593435">
        <w:rPr>
          <w:rFonts w:ascii="Times New Roman" w:hAnsi="Times New Roman" w:cs="Times New Roman"/>
          <w:sz w:val="24"/>
          <w:szCs w:val="24"/>
          <w:lang w:val="vi-VN"/>
        </w:rPr>
        <w:t xml:space="preserve">kết quả </w:t>
      </w:r>
      <w:r w:rsidRPr="00593435">
        <w:rPr>
          <w:rFonts w:ascii="Times New Roman" w:hAnsi="Times New Roman" w:cs="Times New Roman"/>
          <w:sz w:val="24"/>
          <w:szCs w:val="24"/>
          <w:lang w:val="vi-VN"/>
        </w:rPr>
        <w:t xml:space="preserve">hoạt động của ngân hàng trở nên tiêu cực và do đó, mối quan hệ </w:t>
      </w:r>
      <w:r w:rsidR="003E074E" w:rsidRPr="00593435">
        <w:rPr>
          <w:rFonts w:ascii="Times New Roman" w:hAnsi="Times New Roman" w:cs="Times New Roman"/>
          <w:sz w:val="24"/>
          <w:szCs w:val="24"/>
          <w:lang w:val="vi-VN"/>
        </w:rPr>
        <w:t>có hình chữ U ngược</w:t>
      </w:r>
      <w:r w:rsidRPr="00593435">
        <w:rPr>
          <w:rFonts w:ascii="Times New Roman" w:hAnsi="Times New Roman" w:cs="Times New Roman"/>
          <w:sz w:val="24"/>
          <w:szCs w:val="24"/>
          <w:lang w:val="vi-VN"/>
        </w:rPr>
        <w:t xml:space="preserve">. </w:t>
      </w:r>
    </w:p>
    <w:p w14:paraId="29AE44C0" w14:textId="30EAA94C" w:rsidR="00872F42" w:rsidRPr="00C75B9B" w:rsidRDefault="000A53C8" w:rsidP="008218C1">
      <w:pPr>
        <w:spacing w:before="120" w:after="0" w:line="312" w:lineRule="auto"/>
        <w:ind w:firstLine="630"/>
        <w:jc w:val="both"/>
        <w:rPr>
          <w:rFonts w:ascii="Times New Roman" w:hAnsi="Times New Roman" w:cs="Times New Roman"/>
          <w:sz w:val="24"/>
          <w:szCs w:val="24"/>
          <w:lang w:val="vi-VN"/>
        </w:rPr>
      </w:pPr>
      <w:r w:rsidRPr="00C75B9B">
        <w:rPr>
          <w:rFonts w:ascii="Times New Roman" w:hAnsi="Times New Roman" w:cs="Times New Roman"/>
          <w:sz w:val="24"/>
          <w:szCs w:val="24"/>
          <w:lang w:val="vi-VN"/>
        </w:rPr>
        <w:t>Về chi phí doanh nghiệp,</w:t>
      </w:r>
      <w:r w:rsidR="00C139CF" w:rsidRPr="00C75B9B">
        <w:rPr>
          <w:rFonts w:ascii="Times New Roman" w:hAnsi="Times New Roman" w:cs="Times New Roman"/>
          <w:sz w:val="24"/>
          <w:szCs w:val="24"/>
          <w:lang w:val="vi-VN"/>
        </w:rPr>
        <w:t xml:space="preserve"> </w:t>
      </w:r>
      <w:r w:rsidRPr="00C75B9B">
        <w:rPr>
          <w:rFonts w:ascii="Times New Roman" w:hAnsi="Times New Roman" w:cs="Times New Roman"/>
          <w:sz w:val="24"/>
          <w:szCs w:val="24"/>
          <w:lang w:val="vi-VN"/>
        </w:rPr>
        <w:t xml:space="preserve">tỷ lệ nữ thành viên HĐQT có khả năng ảnh hưởng đến một số loại chi phí; tuy nhiên, bản chất của tác động có thể khác nhau. Một số nghiên cứu cho thấy các công ty có </w:t>
      </w:r>
      <w:r w:rsidR="00C139CF" w:rsidRPr="00C75B9B">
        <w:rPr>
          <w:rFonts w:ascii="Times New Roman" w:hAnsi="Times New Roman" w:cs="Times New Roman"/>
          <w:sz w:val="24"/>
          <w:szCs w:val="24"/>
          <w:lang w:val="vi-VN"/>
        </w:rPr>
        <w:t>HĐQT bình đẳng</w:t>
      </w:r>
      <w:r w:rsidRPr="00C75B9B">
        <w:rPr>
          <w:rFonts w:ascii="Times New Roman" w:hAnsi="Times New Roman" w:cs="Times New Roman"/>
          <w:sz w:val="24"/>
          <w:szCs w:val="24"/>
          <w:lang w:val="vi-VN"/>
        </w:rPr>
        <w:t xml:space="preserve"> về giới tính có chi phí </w:t>
      </w:r>
      <w:r w:rsidR="00C139CF" w:rsidRPr="00C75B9B">
        <w:rPr>
          <w:rFonts w:ascii="Times New Roman" w:hAnsi="Times New Roman" w:cs="Times New Roman"/>
          <w:sz w:val="24"/>
          <w:szCs w:val="24"/>
          <w:lang w:val="vi-VN"/>
        </w:rPr>
        <w:t xml:space="preserve">nhân sự </w:t>
      </w:r>
      <w:r w:rsidRPr="00C75B9B">
        <w:rPr>
          <w:rFonts w:ascii="Times New Roman" w:hAnsi="Times New Roman" w:cs="Times New Roman"/>
          <w:sz w:val="24"/>
          <w:szCs w:val="24"/>
          <w:lang w:val="vi-VN"/>
        </w:rPr>
        <w:t>và chi</w:t>
      </w:r>
      <w:r w:rsidR="00C139CF" w:rsidRPr="00C75B9B">
        <w:rPr>
          <w:rFonts w:ascii="Times New Roman" w:hAnsi="Times New Roman" w:cs="Times New Roman"/>
          <w:sz w:val="24"/>
          <w:szCs w:val="24"/>
          <w:lang w:val="vi-VN"/>
        </w:rPr>
        <w:t xml:space="preserve"> phí nghiên cứu và phát triển cao hơn </w:t>
      </w:r>
      <w:r w:rsidRPr="00C75B9B">
        <w:rPr>
          <w:rFonts w:ascii="Times New Roman" w:hAnsi="Times New Roman" w:cs="Times New Roman"/>
          <w:sz w:val="24"/>
          <w:szCs w:val="24"/>
          <w:lang w:val="vi-VN"/>
        </w:rPr>
        <w:t>(</w:t>
      </w:r>
      <w:r w:rsidR="00C139CF" w:rsidRPr="00C75B9B">
        <w:rPr>
          <w:rFonts w:ascii="Times New Roman" w:hAnsi="Times New Roman" w:cs="Times New Roman"/>
          <w:sz w:val="24"/>
          <w:szCs w:val="24"/>
          <w:lang w:val="vi-VN"/>
        </w:rPr>
        <w:t xml:space="preserve">Matsa &amp; Miller, 2013; </w:t>
      </w:r>
      <w:r w:rsidRPr="00C75B9B">
        <w:rPr>
          <w:rFonts w:ascii="Times New Roman" w:hAnsi="Times New Roman" w:cs="Times New Roman"/>
          <w:sz w:val="24"/>
          <w:szCs w:val="24"/>
          <w:lang w:val="vi-VN"/>
        </w:rPr>
        <w:t>Miller &amp; Triana, 2009)</w:t>
      </w:r>
      <w:r w:rsidR="0056798E" w:rsidRPr="00C75B9B">
        <w:rPr>
          <w:rFonts w:ascii="Times New Roman" w:hAnsi="Times New Roman" w:cs="Times New Roman"/>
          <w:sz w:val="24"/>
          <w:szCs w:val="24"/>
          <w:lang w:val="vi-VN"/>
        </w:rPr>
        <w:t>,</w:t>
      </w:r>
      <w:r w:rsidRPr="00C75B9B">
        <w:rPr>
          <w:rFonts w:ascii="Times New Roman" w:hAnsi="Times New Roman" w:cs="Times New Roman"/>
          <w:sz w:val="24"/>
          <w:szCs w:val="24"/>
          <w:lang w:val="vi-VN"/>
        </w:rPr>
        <w:t xml:space="preserve"> trong khi nghiên cứu khác ghi nhận tác động</w:t>
      </w:r>
      <w:r w:rsidR="00C139CF" w:rsidRPr="00C75B9B">
        <w:rPr>
          <w:rFonts w:ascii="Times New Roman" w:hAnsi="Times New Roman" w:cs="Times New Roman"/>
          <w:sz w:val="24"/>
          <w:szCs w:val="24"/>
          <w:lang w:val="vi-VN"/>
        </w:rPr>
        <w:t xml:space="preserve"> ngược chiều</w:t>
      </w:r>
      <w:r w:rsidRPr="00C75B9B">
        <w:rPr>
          <w:rFonts w:ascii="Times New Roman" w:hAnsi="Times New Roman" w:cs="Times New Roman"/>
          <w:sz w:val="24"/>
          <w:szCs w:val="24"/>
          <w:lang w:val="vi-VN"/>
        </w:rPr>
        <w:t xml:space="preserve"> của </w:t>
      </w:r>
      <w:r w:rsidR="00C139CF" w:rsidRPr="00C75B9B">
        <w:rPr>
          <w:rFonts w:ascii="Times New Roman" w:hAnsi="Times New Roman" w:cs="Times New Roman"/>
          <w:sz w:val="24"/>
          <w:szCs w:val="24"/>
          <w:lang w:val="vi-VN"/>
        </w:rPr>
        <w:t>bình đẳng giới HĐQT</w:t>
      </w:r>
      <w:r w:rsidRPr="00C75B9B">
        <w:rPr>
          <w:rFonts w:ascii="Times New Roman" w:hAnsi="Times New Roman" w:cs="Times New Roman"/>
          <w:sz w:val="24"/>
          <w:szCs w:val="24"/>
          <w:lang w:val="vi-VN"/>
        </w:rPr>
        <w:t xml:space="preserve"> đối với chi phí nợ của công ty (Pandey và cộng sự, 2020). Cụ thể, Matsa và Miller (2013) xem xét tác động của </w:t>
      </w:r>
      <w:r w:rsidR="00C139CF" w:rsidRPr="00C75B9B">
        <w:rPr>
          <w:rFonts w:ascii="Times New Roman" w:hAnsi="Times New Roman" w:cs="Times New Roman"/>
          <w:sz w:val="24"/>
          <w:szCs w:val="24"/>
          <w:lang w:val="vi-VN"/>
        </w:rPr>
        <w:t>quy định bắt buộc về số lượng nữ thành viên HĐQT</w:t>
      </w:r>
      <w:r w:rsidRPr="00C75B9B">
        <w:rPr>
          <w:rFonts w:ascii="Times New Roman" w:hAnsi="Times New Roman" w:cs="Times New Roman"/>
          <w:sz w:val="24"/>
          <w:szCs w:val="24"/>
          <w:lang w:val="vi-VN"/>
        </w:rPr>
        <w:t xml:space="preserve"> ở Na Uy vào năm 2006 và </w:t>
      </w:r>
      <w:r w:rsidR="00C139CF" w:rsidRPr="00C75B9B">
        <w:rPr>
          <w:rFonts w:ascii="Times New Roman" w:hAnsi="Times New Roman" w:cs="Times New Roman"/>
          <w:sz w:val="24"/>
          <w:szCs w:val="24"/>
          <w:lang w:val="vi-VN"/>
        </w:rPr>
        <w:t>chỉ ra</w:t>
      </w:r>
      <w:r w:rsidRPr="00C75B9B">
        <w:rPr>
          <w:rFonts w:ascii="Times New Roman" w:hAnsi="Times New Roman" w:cs="Times New Roman"/>
          <w:sz w:val="24"/>
          <w:szCs w:val="24"/>
          <w:lang w:val="vi-VN"/>
        </w:rPr>
        <w:t xml:space="preserve"> rằng các công ty bị ảnh hưởng có chi phí </w:t>
      </w:r>
      <w:r w:rsidR="00C139CF" w:rsidRPr="00C75B9B">
        <w:rPr>
          <w:rFonts w:ascii="Times New Roman" w:hAnsi="Times New Roman" w:cs="Times New Roman"/>
          <w:sz w:val="24"/>
          <w:szCs w:val="24"/>
          <w:lang w:val="vi-VN"/>
        </w:rPr>
        <w:t>nhân sự</w:t>
      </w:r>
      <w:r w:rsidRPr="00C75B9B">
        <w:rPr>
          <w:rFonts w:ascii="Times New Roman" w:hAnsi="Times New Roman" w:cs="Times New Roman"/>
          <w:sz w:val="24"/>
          <w:szCs w:val="24"/>
          <w:lang w:val="vi-VN"/>
        </w:rPr>
        <w:t xml:space="preserve"> cao hơn do ít sa thải nhân viên hơn so với các công ty không bị ảnh hưởng. Kết quả này được cho là do phong cách lãnh đạo khác biệt của các nữ</w:t>
      </w:r>
      <w:r w:rsidR="00C139CF" w:rsidRPr="00C75B9B">
        <w:rPr>
          <w:rFonts w:ascii="Times New Roman" w:hAnsi="Times New Roman" w:cs="Times New Roman"/>
          <w:sz w:val="24"/>
          <w:szCs w:val="24"/>
          <w:lang w:val="vi-VN"/>
        </w:rPr>
        <w:t xml:space="preserve"> lãnh đạo</w:t>
      </w:r>
      <w:r w:rsidR="00872F42" w:rsidRPr="00C75B9B">
        <w:rPr>
          <w:rFonts w:ascii="Times New Roman" w:hAnsi="Times New Roman" w:cs="Times New Roman"/>
          <w:sz w:val="24"/>
          <w:szCs w:val="24"/>
          <w:lang w:val="vi-VN"/>
        </w:rPr>
        <w:t>.</w:t>
      </w:r>
      <w:r w:rsidRPr="00C75B9B">
        <w:rPr>
          <w:rFonts w:ascii="Times New Roman" w:hAnsi="Times New Roman" w:cs="Times New Roman"/>
          <w:sz w:val="24"/>
          <w:szCs w:val="24"/>
          <w:lang w:val="vi-VN"/>
        </w:rPr>
        <w:t xml:space="preserve"> </w:t>
      </w:r>
      <w:r w:rsidR="00872F42" w:rsidRPr="00C75B9B">
        <w:rPr>
          <w:rFonts w:ascii="Times New Roman" w:hAnsi="Times New Roman" w:cs="Times New Roman"/>
          <w:sz w:val="24"/>
          <w:szCs w:val="24"/>
          <w:lang w:val="vi-VN"/>
        </w:rPr>
        <w:t xml:space="preserve">Họ thường có </w:t>
      </w:r>
      <w:r w:rsidRPr="00C75B9B">
        <w:rPr>
          <w:rFonts w:ascii="Times New Roman" w:hAnsi="Times New Roman" w:cs="Times New Roman"/>
          <w:sz w:val="24"/>
          <w:szCs w:val="24"/>
          <w:lang w:val="vi-VN"/>
        </w:rPr>
        <w:t xml:space="preserve">định hướng dài hạn và vị tha hơn so với các </w:t>
      </w:r>
      <w:r w:rsidR="00872F42" w:rsidRPr="00C75B9B">
        <w:rPr>
          <w:rFonts w:ascii="Times New Roman" w:hAnsi="Times New Roman" w:cs="Times New Roman"/>
          <w:sz w:val="24"/>
          <w:szCs w:val="24"/>
          <w:lang w:val="vi-VN"/>
        </w:rPr>
        <w:t>lãnh đạo</w:t>
      </w:r>
      <w:r w:rsidRPr="00C75B9B">
        <w:rPr>
          <w:rFonts w:ascii="Times New Roman" w:hAnsi="Times New Roman" w:cs="Times New Roman"/>
          <w:sz w:val="24"/>
          <w:szCs w:val="24"/>
          <w:lang w:val="vi-VN"/>
        </w:rPr>
        <w:t xml:space="preserve"> nam. Sử dụng </w:t>
      </w:r>
      <w:r w:rsidR="00872F42" w:rsidRPr="00C75B9B">
        <w:rPr>
          <w:rFonts w:ascii="Times New Roman" w:hAnsi="Times New Roman" w:cs="Times New Roman"/>
          <w:sz w:val="24"/>
          <w:szCs w:val="24"/>
          <w:lang w:val="vi-VN"/>
        </w:rPr>
        <w:t>dữ liệu của</w:t>
      </w:r>
      <w:r w:rsidRPr="00C75B9B">
        <w:rPr>
          <w:rFonts w:ascii="Times New Roman" w:hAnsi="Times New Roman" w:cs="Times New Roman"/>
          <w:sz w:val="24"/>
          <w:szCs w:val="24"/>
          <w:lang w:val="vi-VN"/>
        </w:rPr>
        <w:t xml:space="preserve"> 326 công ty trong danh sách Fortune 500 trong giai đoạn 2002-2005, Miller và Triana (2009) </w:t>
      </w:r>
      <w:r w:rsidR="00872F42" w:rsidRPr="00C75B9B">
        <w:rPr>
          <w:rFonts w:ascii="Times New Roman" w:hAnsi="Times New Roman" w:cs="Times New Roman"/>
          <w:sz w:val="24"/>
          <w:szCs w:val="24"/>
          <w:lang w:val="vi-VN"/>
        </w:rPr>
        <w:t>kết luận rằng</w:t>
      </w:r>
      <w:r w:rsidRPr="00C75B9B">
        <w:rPr>
          <w:rFonts w:ascii="Times New Roman" w:hAnsi="Times New Roman" w:cs="Times New Roman"/>
          <w:sz w:val="24"/>
          <w:szCs w:val="24"/>
          <w:lang w:val="vi-VN"/>
        </w:rPr>
        <w:t xml:space="preserve"> </w:t>
      </w:r>
      <w:r w:rsidR="0056798E" w:rsidRPr="00C75B9B">
        <w:rPr>
          <w:rFonts w:ascii="Times New Roman" w:hAnsi="Times New Roman" w:cs="Times New Roman"/>
          <w:sz w:val="24"/>
          <w:szCs w:val="24"/>
          <w:lang w:val="vi-VN"/>
        </w:rPr>
        <w:t xml:space="preserve">tỷ lệ nữ thành viên HĐQT tăng làm tăng chi phí đầu tư và phát triển của công ty. Trong khi đó, </w:t>
      </w:r>
      <w:r w:rsidR="00872F42" w:rsidRPr="00C75B9B">
        <w:rPr>
          <w:rFonts w:ascii="Times New Roman" w:hAnsi="Times New Roman" w:cs="Times New Roman"/>
          <w:sz w:val="24"/>
          <w:szCs w:val="24"/>
          <w:lang w:val="vi-VN"/>
        </w:rPr>
        <w:t xml:space="preserve">Pandey </w:t>
      </w:r>
      <w:r w:rsidR="0056798E" w:rsidRPr="00C75B9B">
        <w:rPr>
          <w:rFonts w:ascii="Times New Roman" w:hAnsi="Times New Roman" w:cs="Times New Roman"/>
          <w:sz w:val="24"/>
          <w:szCs w:val="24"/>
          <w:lang w:val="vi-VN"/>
        </w:rPr>
        <w:t>và cộng sự</w:t>
      </w:r>
      <w:r w:rsidR="00872F42" w:rsidRPr="00C75B9B">
        <w:rPr>
          <w:rFonts w:ascii="Times New Roman" w:hAnsi="Times New Roman" w:cs="Times New Roman"/>
          <w:sz w:val="24"/>
          <w:szCs w:val="24"/>
          <w:lang w:val="vi-VN"/>
        </w:rPr>
        <w:t xml:space="preserve"> (2020)</w:t>
      </w:r>
      <w:r w:rsidR="0056798E" w:rsidRPr="00C75B9B">
        <w:rPr>
          <w:rFonts w:ascii="Times New Roman" w:hAnsi="Times New Roman" w:cs="Times New Roman"/>
          <w:sz w:val="24"/>
          <w:szCs w:val="24"/>
          <w:lang w:val="vi-VN"/>
        </w:rPr>
        <w:t xml:space="preserve"> </w:t>
      </w:r>
      <w:r w:rsidR="00871545" w:rsidRPr="00C75B9B">
        <w:rPr>
          <w:rFonts w:ascii="Times New Roman" w:hAnsi="Times New Roman" w:cs="Times New Roman"/>
          <w:sz w:val="24"/>
          <w:szCs w:val="24"/>
          <w:lang w:val="vi-VN"/>
        </w:rPr>
        <w:t>sử dụng</w:t>
      </w:r>
      <w:r w:rsidR="0056798E" w:rsidRPr="00C75B9B">
        <w:rPr>
          <w:rFonts w:ascii="Times New Roman" w:hAnsi="Times New Roman" w:cs="Times New Roman"/>
          <w:sz w:val="24"/>
          <w:szCs w:val="24"/>
          <w:lang w:val="vi-VN"/>
        </w:rPr>
        <w:t xml:space="preserve"> dữ liệu của 3.025 công ty Úc trong giai đoạn 2004-2016</w:t>
      </w:r>
      <w:r w:rsidR="00872F42" w:rsidRPr="00C75B9B">
        <w:rPr>
          <w:rFonts w:ascii="Times New Roman" w:hAnsi="Times New Roman" w:cs="Times New Roman"/>
          <w:sz w:val="24"/>
          <w:szCs w:val="24"/>
          <w:lang w:val="vi-VN"/>
        </w:rPr>
        <w:t xml:space="preserve"> </w:t>
      </w:r>
      <w:r w:rsidR="0056798E" w:rsidRPr="00C75B9B">
        <w:rPr>
          <w:rFonts w:ascii="Times New Roman" w:hAnsi="Times New Roman" w:cs="Times New Roman"/>
          <w:sz w:val="24"/>
          <w:szCs w:val="24"/>
          <w:lang w:val="vi-VN"/>
        </w:rPr>
        <w:t>để nghiên cứu ảnh hưởng của</w:t>
      </w:r>
      <w:r w:rsidR="00872F42" w:rsidRPr="00C75B9B">
        <w:rPr>
          <w:rFonts w:ascii="Times New Roman" w:hAnsi="Times New Roman" w:cs="Times New Roman"/>
          <w:sz w:val="24"/>
          <w:szCs w:val="24"/>
          <w:lang w:val="vi-VN"/>
        </w:rPr>
        <w:t xml:space="preserve"> </w:t>
      </w:r>
      <w:r w:rsidR="001F266F" w:rsidRPr="00C75B9B">
        <w:rPr>
          <w:rFonts w:ascii="Times New Roman" w:hAnsi="Times New Roman" w:cs="Times New Roman"/>
          <w:sz w:val="24"/>
          <w:szCs w:val="24"/>
          <w:lang w:val="vi-VN"/>
        </w:rPr>
        <w:t>bình đẳng giới</w:t>
      </w:r>
      <w:r w:rsidR="00872F42" w:rsidRPr="00C75B9B">
        <w:rPr>
          <w:rFonts w:ascii="Times New Roman" w:hAnsi="Times New Roman" w:cs="Times New Roman"/>
          <w:sz w:val="24"/>
          <w:szCs w:val="24"/>
          <w:lang w:val="vi-VN"/>
        </w:rPr>
        <w:t xml:space="preserve"> </w:t>
      </w:r>
      <w:r w:rsidR="0056798E" w:rsidRPr="00C75B9B">
        <w:rPr>
          <w:rFonts w:ascii="Times New Roman" w:hAnsi="Times New Roman" w:cs="Times New Roman"/>
          <w:sz w:val="24"/>
          <w:szCs w:val="24"/>
          <w:lang w:val="vi-VN"/>
        </w:rPr>
        <w:t>HĐQT</w:t>
      </w:r>
      <w:r w:rsidR="00872F42" w:rsidRPr="00C75B9B">
        <w:rPr>
          <w:rFonts w:ascii="Times New Roman" w:hAnsi="Times New Roman" w:cs="Times New Roman"/>
          <w:sz w:val="24"/>
          <w:szCs w:val="24"/>
          <w:lang w:val="vi-VN"/>
        </w:rPr>
        <w:t xml:space="preserve"> đến chi phí nợ và </w:t>
      </w:r>
      <w:r w:rsidR="0056798E" w:rsidRPr="00C75B9B">
        <w:rPr>
          <w:rFonts w:ascii="Times New Roman" w:hAnsi="Times New Roman" w:cs="Times New Roman"/>
          <w:sz w:val="24"/>
          <w:szCs w:val="24"/>
          <w:lang w:val="vi-VN"/>
        </w:rPr>
        <w:t>kết luận</w:t>
      </w:r>
      <w:r w:rsidR="00872F42" w:rsidRPr="00C75B9B">
        <w:rPr>
          <w:rFonts w:ascii="Times New Roman" w:hAnsi="Times New Roman" w:cs="Times New Roman"/>
          <w:sz w:val="24"/>
          <w:szCs w:val="24"/>
          <w:lang w:val="vi-VN"/>
        </w:rPr>
        <w:t xml:space="preserve"> rằng các công ty có sự đa dạng về giới trong </w:t>
      </w:r>
      <w:r w:rsidR="001F266F" w:rsidRPr="00C75B9B">
        <w:rPr>
          <w:rFonts w:ascii="Times New Roman" w:hAnsi="Times New Roman" w:cs="Times New Roman"/>
          <w:sz w:val="24"/>
          <w:szCs w:val="24"/>
          <w:lang w:val="vi-VN"/>
        </w:rPr>
        <w:t>HĐQT</w:t>
      </w:r>
      <w:r w:rsidR="00872F42" w:rsidRPr="00C75B9B">
        <w:rPr>
          <w:rFonts w:ascii="Times New Roman" w:hAnsi="Times New Roman" w:cs="Times New Roman"/>
          <w:sz w:val="24"/>
          <w:szCs w:val="24"/>
          <w:lang w:val="vi-VN"/>
        </w:rPr>
        <w:t xml:space="preserve"> cao hơn sẽ có chi phí vay thấp hơn. </w:t>
      </w:r>
      <w:r w:rsidR="001F266F" w:rsidRPr="00C75B9B">
        <w:rPr>
          <w:rFonts w:ascii="Times New Roman" w:hAnsi="Times New Roman" w:cs="Times New Roman"/>
          <w:sz w:val="24"/>
          <w:szCs w:val="24"/>
          <w:lang w:val="vi-VN"/>
        </w:rPr>
        <w:t xml:space="preserve">Điều này là do </w:t>
      </w:r>
      <w:r w:rsidR="00872F42" w:rsidRPr="00C75B9B">
        <w:rPr>
          <w:rFonts w:ascii="Times New Roman" w:hAnsi="Times New Roman" w:cs="Times New Roman"/>
          <w:sz w:val="24"/>
          <w:szCs w:val="24"/>
          <w:lang w:val="vi-VN"/>
        </w:rPr>
        <w:t xml:space="preserve">các bên cho vay có thể </w:t>
      </w:r>
      <w:r w:rsidR="001F266F" w:rsidRPr="00C75B9B">
        <w:rPr>
          <w:rFonts w:ascii="Times New Roman" w:hAnsi="Times New Roman" w:cs="Times New Roman"/>
          <w:sz w:val="24"/>
          <w:szCs w:val="24"/>
          <w:lang w:val="vi-VN"/>
        </w:rPr>
        <w:t>đánh giá việc có đại diện</w:t>
      </w:r>
      <w:r w:rsidR="00872F42" w:rsidRPr="00C75B9B">
        <w:rPr>
          <w:rFonts w:ascii="Times New Roman" w:hAnsi="Times New Roman" w:cs="Times New Roman"/>
          <w:sz w:val="24"/>
          <w:szCs w:val="24"/>
          <w:lang w:val="vi-VN"/>
        </w:rPr>
        <w:t xml:space="preserve"> nữ trong </w:t>
      </w:r>
      <w:r w:rsidR="001F266F" w:rsidRPr="00C75B9B">
        <w:rPr>
          <w:rFonts w:ascii="Times New Roman" w:hAnsi="Times New Roman" w:cs="Times New Roman"/>
          <w:sz w:val="24"/>
          <w:szCs w:val="24"/>
          <w:lang w:val="vi-VN"/>
        </w:rPr>
        <w:t>HĐQT</w:t>
      </w:r>
      <w:r w:rsidR="00872F42" w:rsidRPr="00C75B9B">
        <w:rPr>
          <w:rFonts w:ascii="Times New Roman" w:hAnsi="Times New Roman" w:cs="Times New Roman"/>
          <w:sz w:val="24"/>
          <w:szCs w:val="24"/>
          <w:lang w:val="vi-VN"/>
        </w:rPr>
        <w:t xml:space="preserve"> là một tín hiệu tốt vì các thành viên nữ có thể tăng cường chức năng giám sát của </w:t>
      </w:r>
      <w:r w:rsidR="001F266F" w:rsidRPr="00C75B9B">
        <w:rPr>
          <w:rFonts w:ascii="Times New Roman" w:hAnsi="Times New Roman" w:cs="Times New Roman"/>
          <w:sz w:val="24"/>
          <w:szCs w:val="24"/>
          <w:lang w:val="vi-VN"/>
        </w:rPr>
        <w:t xml:space="preserve">HĐQT </w:t>
      </w:r>
      <w:r w:rsidR="00872F42" w:rsidRPr="00C75B9B">
        <w:rPr>
          <w:rFonts w:ascii="Times New Roman" w:hAnsi="Times New Roman" w:cs="Times New Roman"/>
          <w:sz w:val="24"/>
          <w:szCs w:val="24"/>
          <w:lang w:val="vi-VN"/>
        </w:rPr>
        <w:t xml:space="preserve">và cải thiện tính minh bạch của công ty. Do đó, xung đột đại diện giữa người quản lý và người cho vay giảm đi, dẫn đến chi phí nợ thấp hơn đối với các công ty có nhiều nữ </w:t>
      </w:r>
      <w:r w:rsidR="001F266F" w:rsidRPr="00C75B9B">
        <w:rPr>
          <w:rFonts w:ascii="Times New Roman" w:hAnsi="Times New Roman" w:cs="Times New Roman"/>
          <w:sz w:val="24"/>
          <w:szCs w:val="24"/>
          <w:lang w:val="vi-VN"/>
        </w:rPr>
        <w:t>thành viên HĐQT</w:t>
      </w:r>
      <w:r w:rsidR="00872F42" w:rsidRPr="00C75B9B">
        <w:rPr>
          <w:rFonts w:ascii="Times New Roman" w:hAnsi="Times New Roman" w:cs="Times New Roman"/>
          <w:sz w:val="24"/>
          <w:szCs w:val="24"/>
          <w:lang w:val="vi-VN"/>
        </w:rPr>
        <w:t xml:space="preserve">. </w:t>
      </w:r>
    </w:p>
    <w:p w14:paraId="1D90522B" w14:textId="74F88FD3" w:rsidR="00265FC1" w:rsidRPr="00593435" w:rsidRDefault="00265FC1" w:rsidP="008218C1">
      <w:pPr>
        <w:pStyle w:val="ListParagraph"/>
        <w:numPr>
          <w:ilvl w:val="2"/>
          <w:numId w:val="1"/>
        </w:numPr>
        <w:spacing w:before="120" w:after="0" w:line="312" w:lineRule="auto"/>
        <w:ind w:left="630" w:hanging="630"/>
        <w:contextualSpacing w:val="0"/>
        <w:jc w:val="both"/>
        <w:rPr>
          <w:rFonts w:ascii="Times New Roman" w:hAnsi="Times New Roman" w:cs="Times New Roman"/>
          <w:b/>
          <w:bCs/>
          <w:i/>
          <w:iCs/>
          <w:sz w:val="24"/>
          <w:szCs w:val="24"/>
          <w:lang w:val="vi-VN"/>
        </w:rPr>
      </w:pPr>
      <w:r w:rsidRPr="00C75B9B">
        <w:rPr>
          <w:rFonts w:ascii="Times New Roman" w:hAnsi="Times New Roman" w:cs="Times New Roman"/>
          <w:b/>
          <w:bCs/>
          <w:i/>
          <w:iCs/>
          <w:sz w:val="24"/>
          <w:szCs w:val="24"/>
          <w:lang w:val="vi-VN"/>
        </w:rPr>
        <w:t>Vai trò điều tiết của yếu tố văn hóa</w:t>
      </w:r>
    </w:p>
    <w:p w14:paraId="44ACFBFC" w14:textId="77777777" w:rsidR="000F7DEA" w:rsidRPr="00593435" w:rsidRDefault="00265FC1" w:rsidP="008218C1">
      <w:pPr>
        <w:spacing w:before="120" w:after="0" w:line="312" w:lineRule="auto"/>
        <w:ind w:firstLine="630"/>
        <w:jc w:val="both"/>
        <w:rPr>
          <w:rFonts w:ascii="Times New Roman" w:hAnsi="Times New Roman" w:cs="Times New Roman"/>
          <w:sz w:val="24"/>
          <w:szCs w:val="24"/>
          <w:lang w:val="vi-VN"/>
        </w:rPr>
      </w:pPr>
      <w:r w:rsidRPr="00593435">
        <w:rPr>
          <w:rFonts w:ascii="Times New Roman" w:hAnsi="Times New Roman" w:cs="Times New Roman"/>
          <w:sz w:val="24"/>
          <w:szCs w:val="24"/>
          <w:lang w:val="vi-VN"/>
        </w:rPr>
        <w:t xml:space="preserve">Một yếu tố nữa cần xem xét khi nghiên cứu mối quan hệ giữa bình đẳng giới HĐQT và hiệu quả ngân hàng là văn hóa, thể chế của mỗi quốc gia. </w:t>
      </w:r>
      <w:r w:rsidR="00CD1220" w:rsidRPr="00593435">
        <w:rPr>
          <w:rFonts w:ascii="Times New Roman" w:hAnsi="Times New Roman" w:cs="Times New Roman"/>
          <w:sz w:val="24"/>
          <w:szCs w:val="24"/>
          <w:lang w:val="vi-VN"/>
        </w:rPr>
        <w:t xml:space="preserve">Một </w:t>
      </w:r>
      <w:r w:rsidRPr="00593435">
        <w:rPr>
          <w:rFonts w:ascii="Times New Roman" w:hAnsi="Times New Roman" w:cs="Times New Roman"/>
          <w:sz w:val="24"/>
          <w:szCs w:val="24"/>
          <w:lang w:val="vi-VN"/>
        </w:rPr>
        <w:t>số</w:t>
      </w:r>
      <w:r w:rsidR="00CD1220" w:rsidRPr="00593435">
        <w:rPr>
          <w:rFonts w:ascii="Times New Roman" w:hAnsi="Times New Roman" w:cs="Times New Roman"/>
          <w:sz w:val="24"/>
          <w:szCs w:val="24"/>
          <w:lang w:val="vi-VN"/>
        </w:rPr>
        <w:t xml:space="preserve"> nghiên cứu gần đây đã tập trung vào vai trò của văn hóa quốc gia trong việc giải thích các tác động</w:t>
      </w:r>
      <w:r w:rsidRPr="00593435">
        <w:rPr>
          <w:rFonts w:ascii="Times New Roman" w:hAnsi="Times New Roman" w:cs="Times New Roman"/>
          <w:sz w:val="24"/>
          <w:szCs w:val="24"/>
          <w:lang w:val="vi-VN"/>
        </w:rPr>
        <w:t xml:space="preserve"> khác nhau</w:t>
      </w:r>
      <w:r w:rsidR="00CD1220" w:rsidRPr="00593435">
        <w:rPr>
          <w:rFonts w:ascii="Times New Roman" w:hAnsi="Times New Roman" w:cs="Times New Roman"/>
          <w:sz w:val="24"/>
          <w:szCs w:val="24"/>
          <w:lang w:val="vi-VN"/>
        </w:rPr>
        <w:t xml:space="preserve"> của sự đa dạng trong </w:t>
      </w:r>
      <w:r w:rsidRPr="00593435">
        <w:rPr>
          <w:rFonts w:ascii="Times New Roman" w:hAnsi="Times New Roman" w:cs="Times New Roman"/>
          <w:sz w:val="24"/>
          <w:szCs w:val="24"/>
          <w:lang w:val="vi-VN"/>
        </w:rPr>
        <w:lastRenderedPageBreak/>
        <w:t>HĐQT</w:t>
      </w:r>
      <w:r w:rsidR="00CD1220" w:rsidRPr="00593435">
        <w:rPr>
          <w:rFonts w:ascii="Times New Roman" w:hAnsi="Times New Roman" w:cs="Times New Roman"/>
          <w:sz w:val="24"/>
          <w:szCs w:val="24"/>
          <w:lang w:val="vi-VN"/>
        </w:rPr>
        <w:t xml:space="preserve"> giữa các quốc gia và cho rằng </w:t>
      </w:r>
      <w:r w:rsidRPr="00593435">
        <w:rPr>
          <w:rFonts w:ascii="Times New Roman" w:hAnsi="Times New Roman" w:cs="Times New Roman"/>
          <w:sz w:val="24"/>
          <w:szCs w:val="24"/>
          <w:lang w:val="vi-VN"/>
        </w:rPr>
        <w:t>cần</w:t>
      </w:r>
      <w:r w:rsidR="00CD1220" w:rsidRPr="00593435">
        <w:rPr>
          <w:rFonts w:ascii="Times New Roman" w:hAnsi="Times New Roman" w:cs="Times New Roman"/>
          <w:sz w:val="24"/>
          <w:szCs w:val="24"/>
          <w:lang w:val="vi-VN"/>
        </w:rPr>
        <w:t xml:space="preserve"> phải tính đến các yếu tố văn hóa khi xem xét </w:t>
      </w:r>
      <w:r w:rsidRPr="00593435">
        <w:rPr>
          <w:rFonts w:ascii="Times New Roman" w:hAnsi="Times New Roman" w:cs="Times New Roman"/>
          <w:sz w:val="24"/>
          <w:szCs w:val="24"/>
          <w:lang w:val="vi-VN"/>
        </w:rPr>
        <w:t>các tác động này</w:t>
      </w:r>
      <w:r w:rsidR="000F7DEA" w:rsidRPr="00593435">
        <w:rPr>
          <w:rFonts w:ascii="Times New Roman" w:hAnsi="Times New Roman" w:cs="Times New Roman"/>
          <w:sz w:val="24"/>
          <w:szCs w:val="24"/>
          <w:lang w:val="vi-VN"/>
        </w:rPr>
        <w:t>.</w:t>
      </w:r>
      <w:r w:rsidRPr="00593435">
        <w:rPr>
          <w:rFonts w:ascii="Times New Roman" w:hAnsi="Times New Roman" w:cs="Times New Roman"/>
          <w:sz w:val="24"/>
          <w:szCs w:val="24"/>
          <w:lang w:val="vi-VN"/>
        </w:rPr>
        <w:t xml:space="preserve"> </w:t>
      </w:r>
      <w:r w:rsidR="000F7DEA" w:rsidRPr="00593435">
        <w:rPr>
          <w:rFonts w:ascii="Times New Roman" w:hAnsi="Times New Roman" w:cs="Times New Roman"/>
          <w:sz w:val="24"/>
          <w:szCs w:val="24"/>
          <w:lang w:val="vi-VN"/>
        </w:rPr>
        <w:t xml:space="preserve"> Sử dụng dữ liệu của khoảng 65.000 công ty ở 103 quốc gia, Fang và cộng sự (2020) nhận thấy rằng các doanh nghiệp do phụ nữ làm chủ có mức năng suất và tăng trưởng thấp hơn và mối quan hệ này rõ rệt hơn ở các quốc gia theo chủ nghĩa cá nhân so với các quốc gia theo chủ nghĩa tập thể. Họ cho rằng phát hiện này là do mức độ cạnh tranh cao hơn ở các quốc gia theo chủ nghĩa cá nhân, điều này cản trở hoạt động của phụ nữ vì nữ giới được coi là kém hiệu quả hơn nam giới trong môi trường cạnh tranh. Arnaboldi và cộng sự (2020) nghiên cứu ảnh hưởng của văn hóa đến vai trò của sự đa dạng trong HĐQT ngân hàng ở 20 quốc gia châu Âu và ghi nhận rằng các ngân hàng có HĐQT đa dạng hơn</w:t>
      </w:r>
      <w:r w:rsidR="006824AF" w:rsidRPr="00593435">
        <w:rPr>
          <w:rFonts w:ascii="Times New Roman" w:hAnsi="Times New Roman" w:cs="Times New Roman"/>
          <w:sz w:val="24"/>
          <w:szCs w:val="24"/>
          <w:lang w:val="vi-VN"/>
        </w:rPr>
        <w:t xml:space="preserve"> (bao gồm đa dạng về giới tính, độ tuổi và quốc tịch của thành viên HĐQT)</w:t>
      </w:r>
      <w:r w:rsidR="000F7DEA" w:rsidRPr="00593435">
        <w:rPr>
          <w:rFonts w:ascii="Times New Roman" w:hAnsi="Times New Roman" w:cs="Times New Roman"/>
          <w:sz w:val="24"/>
          <w:szCs w:val="24"/>
          <w:lang w:val="vi-VN"/>
        </w:rPr>
        <w:t xml:space="preserve"> sẽ có mức độ biến động về </w:t>
      </w:r>
      <w:r w:rsidR="006824AF" w:rsidRPr="00593435">
        <w:rPr>
          <w:rFonts w:ascii="Times New Roman" w:hAnsi="Times New Roman" w:cs="Times New Roman"/>
          <w:sz w:val="24"/>
          <w:szCs w:val="24"/>
          <w:lang w:val="vi-VN"/>
        </w:rPr>
        <w:t>kết quả kinh doanh</w:t>
      </w:r>
      <w:r w:rsidR="000F7DEA" w:rsidRPr="00593435">
        <w:rPr>
          <w:rFonts w:ascii="Times New Roman" w:hAnsi="Times New Roman" w:cs="Times New Roman"/>
          <w:sz w:val="24"/>
          <w:szCs w:val="24"/>
          <w:lang w:val="vi-VN"/>
        </w:rPr>
        <w:t xml:space="preserve"> thấp hơn ở các quốc gia có văn hóa cởi mở hơn đối với sự đa dạng. Các nghiên cứu này gợi ý rằng các yếu tố văn hóa rất quan trọng trong việc giải thích các tác động khác nhau của </w:t>
      </w:r>
      <w:r w:rsidR="006824AF" w:rsidRPr="00593435">
        <w:rPr>
          <w:rFonts w:ascii="Times New Roman" w:hAnsi="Times New Roman" w:cs="Times New Roman"/>
          <w:sz w:val="24"/>
          <w:szCs w:val="24"/>
          <w:lang w:val="vi-VN"/>
        </w:rPr>
        <w:t>bình đẳng giới</w:t>
      </w:r>
      <w:r w:rsidR="000F7DEA" w:rsidRPr="00593435">
        <w:rPr>
          <w:rFonts w:ascii="Times New Roman" w:hAnsi="Times New Roman" w:cs="Times New Roman"/>
          <w:sz w:val="24"/>
          <w:szCs w:val="24"/>
          <w:lang w:val="vi-VN"/>
        </w:rPr>
        <w:t xml:space="preserve"> trong </w:t>
      </w:r>
      <w:r w:rsidR="006824AF" w:rsidRPr="00593435">
        <w:rPr>
          <w:rFonts w:ascii="Times New Roman" w:hAnsi="Times New Roman" w:cs="Times New Roman"/>
          <w:sz w:val="24"/>
          <w:szCs w:val="24"/>
          <w:lang w:val="vi-VN"/>
        </w:rPr>
        <w:t>HĐQT</w:t>
      </w:r>
      <w:r w:rsidR="000F7DEA" w:rsidRPr="00593435">
        <w:rPr>
          <w:rFonts w:ascii="Times New Roman" w:hAnsi="Times New Roman" w:cs="Times New Roman"/>
          <w:sz w:val="24"/>
          <w:szCs w:val="24"/>
          <w:lang w:val="vi-VN"/>
        </w:rPr>
        <w:t xml:space="preserve"> giữa các quốc gia</w:t>
      </w:r>
      <w:r w:rsidR="006824AF" w:rsidRPr="00593435">
        <w:rPr>
          <w:rFonts w:ascii="Times New Roman" w:hAnsi="Times New Roman" w:cs="Times New Roman"/>
          <w:sz w:val="24"/>
          <w:szCs w:val="24"/>
          <w:lang w:val="vi-VN"/>
        </w:rPr>
        <w:t>.</w:t>
      </w:r>
    </w:p>
    <w:p w14:paraId="3B4BCD83" w14:textId="430AD0AC" w:rsidR="000F7DEA" w:rsidRPr="009D0821" w:rsidRDefault="00856C9D" w:rsidP="008218C1">
      <w:pPr>
        <w:pStyle w:val="ListParagraph"/>
        <w:numPr>
          <w:ilvl w:val="1"/>
          <w:numId w:val="1"/>
        </w:numPr>
        <w:spacing w:before="120" w:after="0" w:line="312" w:lineRule="auto"/>
        <w:ind w:left="630" w:hanging="630"/>
        <w:contextualSpacing w:val="0"/>
        <w:jc w:val="both"/>
        <w:rPr>
          <w:rFonts w:ascii="Times New Roman" w:hAnsi="Times New Roman" w:cs="Times New Roman"/>
          <w:b/>
          <w:bCs/>
          <w:sz w:val="24"/>
          <w:szCs w:val="24"/>
        </w:rPr>
      </w:pPr>
      <w:proofErr w:type="spellStart"/>
      <w:r w:rsidRPr="009D0821">
        <w:rPr>
          <w:rFonts w:ascii="Times New Roman" w:hAnsi="Times New Roman" w:cs="Times New Roman"/>
          <w:b/>
          <w:bCs/>
          <w:sz w:val="24"/>
          <w:szCs w:val="24"/>
        </w:rPr>
        <w:t>Phương</w:t>
      </w:r>
      <w:proofErr w:type="spellEnd"/>
      <w:r w:rsidRPr="009D0821">
        <w:rPr>
          <w:rFonts w:ascii="Times New Roman" w:hAnsi="Times New Roman" w:cs="Times New Roman"/>
          <w:b/>
          <w:bCs/>
          <w:sz w:val="24"/>
          <w:szCs w:val="24"/>
        </w:rPr>
        <w:t xml:space="preserve"> </w:t>
      </w:r>
      <w:proofErr w:type="spellStart"/>
      <w:r w:rsidRPr="009D0821">
        <w:rPr>
          <w:rFonts w:ascii="Times New Roman" w:hAnsi="Times New Roman" w:cs="Times New Roman"/>
          <w:b/>
          <w:bCs/>
          <w:sz w:val="24"/>
          <w:szCs w:val="24"/>
        </w:rPr>
        <w:t>pháp</w:t>
      </w:r>
      <w:proofErr w:type="spellEnd"/>
      <w:r w:rsidRPr="009D0821">
        <w:rPr>
          <w:rFonts w:ascii="Times New Roman" w:hAnsi="Times New Roman" w:cs="Times New Roman"/>
          <w:b/>
          <w:bCs/>
          <w:sz w:val="24"/>
          <w:szCs w:val="24"/>
        </w:rPr>
        <w:t xml:space="preserve"> </w:t>
      </w:r>
      <w:proofErr w:type="spellStart"/>
      <w:r w:rsidRPr="009D0821">
        <w:rPr>
          <w:rFonts w:ascii="Times New Roman" w:hAnsi="Times New Roman" w:cs="Times New Roman"/>
          <w:b/>
          <w:bCs/>
          <w:sz w:val="24"/>
          <w:szCs w:val="24"/>
        </w:rPr>
        <w:t>nghiên</w:t>
      </w:r>
      <w:proofErr w:type="spellEnd"/>
      <w:r w:rsidRPr="009D0821">
        <w:rPr>
          <w:rFonts w:ascii="Times New Roman" w:hAnsi="Times New Roman" w:cs="Times New Roman"/>
          <w:b/>
          <w:bCs/>
          <w:sz w:val="24"/>
          <w:szCs w:val="24"/>
        </w:rPr>
        <w:t xml:space="preserve"> </w:t>
      </w:r>
      <w:proofErr w:type="spellStart"/>
      <w:r w:rsidRPr="009D0821">
        <w:rPr>
          <w:rFonts w:ascii="Times New Roman" w:hAnsi="Times New Roman" w:cs="Times New Roman"/>
          <w:b/>
          <w:bCs/>
          <w:sz w:val="24"/>
          <w:szCs w:val="24"/>
        </w:rPr>
        <w:t>cứu</w:t>
      </w:r>
      <w:proofErr w:type="spellEnd"/>
    </w:p>
    <w:p w14:paraId="6617E1B2" w14:textId="11F5E69A" w:rsidR="005D6275" w:rsidRPr="00593435" w:rsidRDefault="00856C9D" w:rsidP="008218C1">
      <w:pPr>
        <w:pStyle w:val="ListParagraph"/>
        <w:numPr>
          <w:ilvl w:val="2"/>
          <w:numId w:val="1"/>
        </w:numPr>
        <w:tabs>
          <w:tab w:val="left" w:pos="450"/>
        </w:tabs>
        <w:spacing w:before="120" w:after="0" w:line="312" w:lineRule="auto"/>
        <w:ind w:left="630" w:hanging="630"/>
        <w:contextualSpacing w:val="0"/>
        <w:jc w:val="both"/>
        <w:rPr>
          <w:rFonts w:ascii="Times New Roman" w:hAnsi="Times New Roman" w:cs="Times New Roman"/>
          <w:b/>
          <w:bCs/>
          <w:i/>
          <w:iCs/>
          <w:sz w:val="24"/>
          <w:szCs w:val="24"/>
        </w:rPr>
      </w:pPr>
      <w:proofErr w:type="spellStart"/>
      <w:r w:rsidRPr="00593435">
        <w:rPr>
          <w:rFonts w:ascii="Times New Roman" w:hAnsi="Times New Roman" w:cs="Times New Roman"/>
          <w:b/>
          <w:bCs/>
          <w:i/>
          <w:iCs/>
          <w:sz w:val="24"/>
          <w:szCs w:val="24"/>
        </w:rPr>
        <w:t>Cơ</w:t>
      </w:r>
      <w:proofErr w:type="spellEnd"/>
      <w:r w:rsidRPr="00593435">
        <w:rPr>
          <w:rFonts w:ascii="Times New Roman" w:hAnsi="Times New Roman" w:cs="Times New Roman"/>
          <w:b/>
          <w:bCs/>
          <w:i/>
          <w:iCs/>
          <w:sz w:val="24"/>
          <w:szCs w:val="24"/>
        </w:rPr>
        <w:t xml:space="preserve"> </w:t>
      </w:r>
      <w:proofErr w:type="spellStart"/>
      <w:r w:rsidRPr="00593435">
        <w:rPr>
          <w:rFonts w:ascii="Times New Roman" w:hAnsi="Times New Roman" w:cs="Times New Roman"/>
          <w:b/>
          <w:bCs/>
          <w:i/>
          <w:iCs/>
          <w:sz w:val="24"/>
          <w:szCs w:val="24"/>
        </w:rPr>
        <w:t>sở</w:t>
      </w:r>
      <w:proofErr w:type="spellEnd"/>
      <w:r w:rsidRPr="00593435">
        <w:rPr>
          <w:rFonts w:ascii="Times New Roman" w:hAnsi="Times New Roman" w:cs="Times New Roman"/>
          <w:b/>
          <w:bCs/>
          <w:i/>
          <w:iCs/>
          <w:sz w:val="24"/>
          <w:szCs w:val="24"/>
        </w:rPr>
        <w:t xml:space="preserve"> </w:t>
      </w:r>
      <w:proofErr w:type="spellStart"/>
      <w:r w:rsidRPr="00593435">
        <w:rPr>
          <w:rFonts w:ascii="Times New Roman" w:hAnsi="Times New Roman" w:cs="Times New Roman"/>
          <w:b/>
          <w:bCs/>
          <w:i/>
          <w:iCs/>
          <w:sz w:val="24"/>
          <w:szCs w:val="24"/>
        </w:rPr>
        <w:t>dữ</w:t>
      </w:r>
      <w:proofErr w:type="spellEnd"/>
      <w:r w:rsidRPr="00593435">
        <w:rPr>
          <w:rFonts w:ascii="Times New Roman" w:hAnsi="Times New Roman" w:cs="Times New Roman"/>
          <w:b/>
          <w:bCs/>
          <w:i/>
          <w:iCs/>
          <w:sz w:val="24"/>
          <w:szCs w:val="24"/>
        </w:rPr>
        <w:t xml:space="preserve"> </w:t>
      </w:r>
      <w:proofErr w:type="spellStart"/>
      <w:r w:rsidRPr="00593435">
        <w:rPr>
          <w:rFonts w:ascii="Times New Roman" w:hAnsi="Times New Roman" w:cs="Times New Roman"/>
          <w:b/>
          <w:bCs/>
          <w:i/>
          <w:iCs/>
          <w:sz w:val="24"/>
          <w:szCs w:val="24"/>
        </w:rPr>
        <w:t>liệu</w:t>
      </w:r>
      <w:proofErr w:type="spellEnd"/>
    </w:p>
    <w:p w14:paraId="3D3A51F7" w14:textId="10250689" w:rsidR="00856C9D" w:rsidRPr="00593435" w:rsidRDefault="001E5BEB" w:rsidP="008218C1">
      <w:pPr>
        <w:spacing w:before="120" w:after="0" w:line="312" w:lineRule="auto"/>
        <w:ind w:firstLine="630"/>
        <w:jc w:val="both"/>
        <w:rPr>
          <w:rFonts w:ascii="Times New Roman" w:hAnsi="Times New Roman" w:cs="Times New Roman"/>
          <w:sz w:val="24"/>
          <w:szCs w:val="24"/>
        </w:rPr>
      </w:pPr>
      <w:proofErr w:type="spellStart"/>
      <w:r w:rsidRPr="00593435">
        <w:rPr>
          <w:rFonts w:ascii="Times New Roman" w:hAnsi="Times New Roman" w:cs="Times New Roman"/>
          <w:sz w:val="24"/>
          <w:szCs w:val="24"/>
        </w:rPr>
        <w:t>Dữ</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liệu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tài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chính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của</w:t>
      </w:r>
      <w:proofErr w:type="spellEnd"/>
      <w:r w:rsidRPr="00593435">
        <w:rPr>
          <w:rFonts w:ascii="Times New Roman" w:hAnsi="Times New Roman" w:cs="Times New Roman"/>
          <w:sz w:val="24"/>
          <w:szCs w:val="24"/>
        </w:rPr>
        <w:t xml:space="preserve"> 485 </w:t>
      </w:r>
      <w:proofErr w:type="spellStart"/>
      <w:r w:rsidRPr="00593435">
        <w:rPr>
          <w:rFonts w:ascii="Times New Roman" w:hAnsi="Times New Roman" w:cs="Times New Roman"/>
          <w:sz w:val="24"/>
          <w:szCs w:val="24"/>
        </w:rPr>
        <w:t>ngân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hàng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thương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mại</w:t>
      </w:r>
      <w:proofErr w:type="spellEnd"/>
      <w:r w:rsidRPr="00593435">
        <w:rPr>
          <w:rFonts w:ascii="Times New Roman" w:hAnsi="Times New Roman" w:cs="Times New Roman"/>
          <w:sz w:val="24"/>
          <w:szCs w:val="24"/>
        </w:rPr>
        <w:t xml:space="preserve"> ở 39 </w:t>
      </w:r>
      <w:proofErr w:type="spellStart"/>
      <w:r w:rsidRPr="00593435">
        <w:rPr>
          <w:rFonts w:ascii="Times New Roman" w:hAnsi="Times New Roman" w:cs="Times New Roman"/>
          <w:sz w:val="24"/>
          <w:szCs w:val="24"/>
        </w:rPr>
        <w:t>nước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trong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giai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đoạn</w:t>
      </w:r>
      <w:proofErr w:type="spellEnd"/>
      <w:r w:rsidRPr="00593435">
        <w:rPr>
          <w:rFonts w:ascii="Times New Roman" w:hAnsi="Times New Roman" w:cs="Times New Roman"/>
          <w:sz w:val="24"/>
          <w:szCs w:val="24"/>
        </w:rPr>
        <w:t xml:space="preserve"> 2004-2015 </w:t>
      </w:r>
      <w:proofErr w:type="spellStart"/>
      <w:r w:rsidRPr="00593435">
        <w:rPr>
          <w:rFonts w:ascii="Times New Roman" w:hAnsi="Times New Roman" w:cs="Times New Roman"/>
          <w:sz w:val="24"/>
          <w:szCs w:val="24"/>
        </w:rPr>
        <w:t>được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lấy</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từ</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hệ</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thống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dữ</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liệu</w:t>
      </w:r>
      <w:proofErr w:type="spellEnd"/>
      <w:r w:rsidRPr="00593435">
        <w:rPr>
          <w:rFonts w:ascii="Times New Roman" w:hAnsi="Times New Roman" w:cs="Times New Roman"/>
          <w:sz w:val="24"/>
          <w:szCs w:val="24"/>
        </w:rPr>
        <w:t xml:space="preserve"> Fitch Connect. Thông tin </w:t>
      </w:r>
      <w:proofErr w:type="spellStart"/>
      <w:r w:rsidRPr="00593435">
        <w:rPr>
          <w:rFonts w:ascii="Times New Roman" w:hAnsi="Times New Roman" w:cs="Times New Roman"/>
          <w:sz w:val="24"/>
          <w:szCs w:val="24"/>
        </w:rPr>
        <w:t>về</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tỷ</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lệ</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nữ</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giới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trong</w:t>
      </w:r>
      <w:proofErr w:type="spellEnd"/>
      <w:r w:rsidRPr="00593435">
        <w:rPr>
          <w:rFonts w:ascii="Times New Roman" w:hAnsi="Times New Roman" w:cs="Times New Roman"/>
          <w:sz w:val="24"/>
          <w:szCs w:val="24"/>
        </w:rPr>
        <w:t xml:space="preserve"> HĐQT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đặc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điểm</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khác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của</w:t>
      </w:r>
      <w:proofErr w:type="spellEnd"/>
      <w:r w:rsidRPr="00593435">
        <w:rPr>
          <w:rFonts w:ascii="Times New Roman" w:hAnsi="Times New Roman" w:cs="Times New Roman"/>
          <w:sz w:val="24"/>
          <w:szCs w:val="24"/>
        </w:rPr>
        <w:t xml:space="preserve"> HĐQT </w:t>
      </w:r>
      <w:proofErr w:type="spellStart"/>
      <w:r w:rsidRPr="00593435">
        <w:rPr>
          <w:rFonts w:ascii="Times New Roman" w:hAnsi="Times New Roman" w:cs="Times New Roman"/>
          <w:sz w:val="24"/>
          <w:szCs w:val="24"/>
        </w:rPr>
        <w:t>được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giả</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tổng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hợp</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từ</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báo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thường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niên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của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ngân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hàng</w:t>
      </w:r>
      <w:proofErr w:type="spellEnd"/>
      <w:r w:rsidRPr="00593435">
        <w:rPr>
          <w:rFonts w:ascii="Times New Roman" w:hAnsi="Times New Roman" w:cs="Times New Roman"/>
          <w:sz w:val="24"/>
          <w:szCs w:val="24"/>
        </w:rPr>
        <w:t xml:space="preserve">. Do </w:t>
      </w:r>
      <w:proofErr w:type="spellStart"/>
      <w:r w:rsidRPr="00593435">
        <w:rPr>
          <w:rFonts w:ascii="Times New Roman" w:hAnsi="Times New Roman" w:cs="Times New Roman"/>
          <w:sz w:val="24"/>
          <w:szCs w:val="24"/>
        </w:rPr>
        <w:t>báo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của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ngân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hàng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tại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một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số</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quốc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không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được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viết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bằng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tiếng</w:t>
      </w:r>
      <w:proofErr w:type="spellEnd"/>
      <w:r w:rsidRPr="00593435">
        <w:rPr>
          <w:rFonts w:ascii="Times New Roman" w:hAnsi="Times New Roman" w:cs="Times New Roman"/>
          <w:sz w:val="24"/>
          <w:szCs w:val="24"/>
        </w:rPr>
        <w:t xml:space="preserve"> Anh, </w:t>
      </w:r>
      <w:proofErr w:type="spellStart"/>
      <w:r w:rsidRPr="00593435">
        <w:rPr>
          <w:rFonts w:ascii="Times New Roman" w:hAnsi="Times New Roman" w:cs="Times New Roman"/>
          <w:sz w:val="24"/>
          <w:szCs w:val="24"/>
        </w:rPr>
        <w:t>tác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giả</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sử</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dụng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công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cụ</w:t>
      </w:r>
      <w:proofErr w:type="spellEnd"/>
      <w:r w:rsidRPr="00593435">
        <w:rPr>
          <w:rFonts w:ascii="Times New Roman" w:hAnsi="Times New Roman" w:cs="Times New Roman"/>
          <w:sz w:val="24"/>
          <w:szCs w:val="24"/>
        </w:rPr>
        <w:t xml:space="preserve"> Google Translate </w:t>
      </w:r>
      <w:proofErr w:type="spellStart"/>
      <w:r w:rsidRPr="00593435">
        <w:rPr>
          <w:rFonts w:ascii="Times New Roman" w:hAnsi="Times New Roman" w:cs="Times New Roman"/>
          <w:sz w:val="24"/>
          <w:szCs w:val="24"/>
        </w:rPr>
        <w:t>để</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hỗ</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trợ</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tìm</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kiếm</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thông</w:t>
      </w:r>
      <w:proofErr w:type="spellEnd"/>
      <w:r w:rsidRPr="00593435">
        <w:rPr>
          <w:rFonts w:ascii="Times New Roman" w:hAnsi="Times New Roman" w:cs="Times New Roman"/>
          <w:sz w:val="24"/>
          <w:szCs w:val="24"/>
        </w:rPr>
        <w:t xml:space="preserve"> tin.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dữ</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liệu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khác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liên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quan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đến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đặc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điểm</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của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quốc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gia</w:t>
      </w:r>
      <w:proofErr w:type="spellEnd"/>
      <w:r w:rsidRPr="00593435">
        <w:rPr>
          <w:rFonts w:ascii="Times New Roman" w:hAnsi="Times New Roman" w:cs="Times New Roman"/>
          <w:sz w:val="24"/>
          <w:szCs w:val="24"/>
        </w:rPr>
        <w:t xml:space="preserve"> </w:t>
      </w:r>
      <w:r w:rsidR="00B419E1" w:rsidRPr="00593435">
        <w:rPr>
          <w:rFonts w:ascii="Times New Roman" w:hAnsi="Times New Roman" w:cs="Times New Roman"/>
          <w:sz w:val="24"/>
          <w:szCs w:val="24"/>
        </w:rPr>
        <w:t xml:space="preserve">(bao </w:t>
      </w:r>
      <w:proofErr w:type="spellStart"/>
      <w:r w:rsidR="00B419E1" w:rsidRPr="00593435">
        <w:rPr>
          <w:rFonts w:ascii="Times New Roman" w:hAnsi="Times New Roman" w:cs="Times New Roman"/>
          <w:sz w:val="24"/>
          <w:szCs w:val="24"/>
        </w:rPr>
        <w:t>gồm</w:t>
      </w:r>
      <w:proofErr w:type="spellEnd"/>
      <w:r w:rsidR="00B419E1" w:rsidRPr="00593435">
        <w:rPr>
          <w:rFonts w:ascii="Times New Roman" w:hAnsi="Times New Roman" w:cs="Times New Roman"/>
          <w:sz w:val="24"/>
          <w:szCs w:val="24"/>
        </w:rPr>
        <w:t xml:space="preserve"> GDP, </w:t>
      </w:r>
      <w:proofErr w:type="spellStart"/>
      <w:r w:rsidR="00B419E1" w:rsidRPr="00593435">
        <w:rPr>
          <w:rFonts w:ascii="Times New Roman" w:hAnsi="Times New Roman" w:cs="Times New Roman"/>
          <w:sz w:val="24"/>
          <w:szCs w:val="24"/>
        </w:rPr>
        <w:t>tình</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trạng</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bình</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đẳng</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giới</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với</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phụ</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nữ</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đi</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làm</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các</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chỉ</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tiêu</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đánh</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giá</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việc</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quản</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lý</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và</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giám</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sát</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ngân</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hàng</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được</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tổng</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hợp</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từ</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hệ</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thống</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dữ</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liệu</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của</w:t>
      </w:r>
      <w:proofErr w:type="spellEnd"/>
      <w:r w:rsidR="00B419E1" w:rsidRPr="00593435">
        <w:rPr>
          <w:rFonts w:ascii="Times New Roman" w:hAnsi="Times New Roman" w:cs="Times New Roman"/>
          <w:sz w:val="24"/>
          <w:szCs w:val="24"/>
        </w:rPr>
        <w:t xml:space="preserve"> World</w:t>
      </w:r>
      <w:r w:rsidR="00DA3F40">
        <w:rPr>
          <w:rFonts w:ascii="Times New Roman" w:hAnsi="Times New Roman" w:cs="Times New Roman"/>
          <w:sz w:val="24"/>
          <w:szCs w:val="24"/>
        </w:rPr>
        <w:t xml:space="preserve"> </w:t>
      </w:r>
      <w:r w:rsidR="00B419E1" w:rsidRPr="00593435">
        <w:rPr>
          <w:rFonts w:ascii="Times New Roman" w:hAnsi="Times New Roman" w:cs="Times New Roman"/>
          <w:sz w:val="24"/>
          <w:szCs w:val="24"/>
        </w:rPr>
        <w:t xml:space="preserve">bank, </w:t>
      </w:r>
      <w:proofErr w:type="spellStart"/>
      <w:r w:rsidR="00DA3F40">
        <w:rPr>
          <w:rFonts w:ascii="Times New Roman" w:hAnsi="Times New Roman" w:cs="Times New Roman"/>
          <w:sz w:val="24"/>
          <w:szCs w:val="24"/>
        </w:rPr>
        <w:t>Q</w:t>
      </w:r>
      <w:r w:rsidR="00B419E1" w:rsidRPr="00593435">
        <w:rPr>
          <w:rFonts w:ascii="Times New Roman" w:hAnsi="Times New Roman" w:cs="Times New Roman"/>
          <w:sz w:val="24"/>
          <w:szCs w:val="24"/>
        </w:rPr>
        <w:t>uỹ</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tiền</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tệ</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quốc</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tế</w:t>
      </w:r>
      <w:proofErr w:type="spellEnd"/>
      <w:r w:rsidR="00B419E1" w:rsidRPr="00593435">
        <w:rPr>
          <w:rFonts w:ascii="Times New Roman" w:hAnsi="Times New Roman" w:cs="Times New Roman"/>
          <w:sz w:val="24"/>
          <w:szCs w:val="24"/>
        </w:rPr>
        <w:t xml:space="preserve"> (IMF), </w:t>
      </w:r>
      <w:proofErr w:type="spellStart"/>
      <w:r w:rsidR="00DA3F40">
        <w:rPr>
          <w:rFonts w:ascii="Times New Roman" w:hAnsi="Times New Roman" w:cs="Times New Roman"/>
          <w:sz w:val="24"/>
          <w:szCs w:val="24"/>
        </w:rPr>
        <w:t>Di</w:t>
      </w:r>
      <w:r w:rsidR="00B419E1" w:rsidRPr="00593435">
        <w:rPr>
          <w:rFonts w:ascii="Times New Roman" w:hAnsi="Times New Roman" w:cs="Times New Roman"/>
          <w:sz w:val="24"/>
          <w:szCs w:val="24"/>
        </w:rPr>
        <w:t>ễn</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đàn</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kinh</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tế</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thế</w:t>
      </w:r>
      <w:proofErr w:type="spellEnd"/>
      <w:r w:rsidR="00B419E1" w:rsidRPr="00593435">
        <w:rPr>
          <w:rFonts w:ascii="Times New Roman" w:hAnsi="Times New Roman" w:cs="Times New Roman"/>
          <w:sz w:val="24"/>
          <w:szCs w:val="24"/>
        </w:rPr>
        <w:t xml:space="preserve"> </w:t>
      </w:r>
      <w:proofErr w:type="spellStart"/>
      <w:r w:rsidR="00B419E1" w:rsidRPr="00593435">
        <w:rPr>
          <w:rFonts w:ascii="Times New Roman" w:hAnsi="Times New Roman" w:cs="Times New Roman"/>
          <w:sz w:val="24"/>
          <w:szCs w:val="24"/>
        </w:rPr>
        <w:t>giới</w:t>
      </w:r>
      <w:proofErr w:type="spellEnd"/>
      <w:r w:rsidR="00B419E1" w:rsidRPr="00593435">
        <w:rPr>
          <w:rFonts w:ascii="Times New Roman" w:hAnsi="Times New Roman" w:cs="Times New Roman"/>
          <w:sz w:val="24"/>
          <w:szCs w:val="24"/>
        </w:rPr>
        <w:t xml:space="preserve"> (WEF).</w:t>
      </w:r>
    </w:p>
    <w:p w14:paraId="01674494" w14:textId="45C61633" w:rsidR="00EC31EC" w:rsidRPr="00593435" w:rsidRDefault="00B419E1" w:rsidP="008218C1">
      <w:pPr>
        <w:pStyle w:val="ListParagraph"/>
        <w:numPr>
          <w:ilvl w:val="2"/>
          <w:numId w:val="1"/>
        </w:numPr>
        <w:tabs>
          <w:tab w:val="left" w:pos="450"/>
        </w:tabs>
        <w:spacing w:before="120" w:after="0" w:line="312" w:lineRule="auto"/>
        <w:ind w:left="630" w:hanging="630"/>
        <w:contextualSpacing w:val="0"/>
        <w:jc w:val="both"/>
        <w:rPr>
          <w:rFonts w:ascii="Times New Roman" w:hAnsi="Times New Roman" w:cs="Times New Roman"/>
          <w:b/>
          <w:bCs/>
          <w:i/>
          <w:iCs/>
          <w:sz w:val="24"/>
          <w:szCs w:val="24"/>
        </w:rPr>
      </w:pPr>
      <w:proofErr w:type="spellStart"/>
      <w:r w:rsidRPr="00593435">
        <w:rPr>
          <w:rFonts w:ascii="Times New Roman" w:hAnsi="Times New Roman" w:cs="Times New Roman"/>
          <w:b/>
          <w:bCs/>
          <w:i/>
          <w:iCs/>
          <w:sz w:val="24"/>
          <w:szCs w:val="24"/>
        </w:rPr>
        <w:t>Mô</w:t>
      </w:r>
      <w:proofErr w:type="spellEnd"/>
      <w:r w:rsidRPr="00593435">
        <w:rPr>
          <w:rFonts w:ascii="Times New Roman" w:hAnsi="Times New Roman" w:cs="Times New Roman"/>
          <w:b/>
          <w:bCs/>
          <w:i/>
          <w:iCs/>
          <w:sz w:val="24"/>
          <w:szCs w:val="24"/>
        </w:rPr>
        <w:t xml:space="preserve"> </w:t>
      </w:r>
      <w:proofErr w:type="spellStart"/>
      <w:r w:rsidRPr="00593435">
        <w:rPr>
          <w:rFonts w:ascii="Times New Roman" w:hAnsi="Times New Roman" w:cs="Times New Roman"/>
          <w:b/>
          <w:bCs/>
          <w:i/>
          <w:iCs/>
          <w:sz w:val="24"/>
          <w:szCs w:val="24"/>
        </w:rPr>
        <w:t>hình</w:t>
      </w:r>
      <w:proofErr w:type="spellEnd"/>
      <w:r w:rsidRPr="00593435">
        <w:rPr>
          <w:rFonts w:ascii="Times New Roman" w:hAnsi="Times New Roman" w:cs="Times New Roman"/>
          <w:b/>
          <w:bCs/>
          <w:i/>
          <w:iCs/>
          <w:sz w:val="24"/>
          <w:szCs w:val="24"/>
        </w:rPr>
        <w:t xml:space="preserve"> </w:t>
      </w:r>
      <w:r w:rsidR="00EC31EC" w:rsidRPr="00593435">
        <w:rPr>
          <w:rFonts w:ascii="Times New Roman" w:hAnsi="Times New Roman" w:cs="Times New Roman"/>
          <w:b/>
          <w:bCs/>
          <w:i/>
          <w:iCs/>
          <w:sz w:val="24"/>
          <w:szCs w:val="24"/>
        </w:rPr>
        <w:t>SFA</w:t>
      </w:r>
    </w:p>
    <w:p w14:paraId="71BE9F0E" w14:textId="5D5B7FBA" w:rsidR="00EC31EC" w:rsidRPr="00593435" w:rsidRDefault="00EC31EC" w:rsidP="008218C1">
      <w:pPr>
        <w:spacing w:before="120" w:after="0" w:line="312" w:lineRule="auto"/>
        <w:ind w:firstLine="630"/>
        <w:jc w:val="both"/>
        <w:rPr>
          <w:rFonts w:ascii="Times New Roman" w:hAnsi="Times New Roman" w:cs="Times New Roman"/>
          <w:sz w:val="24"/>
          <w:szCs w:val="24"/>
        </w:rPr>
      </w:pPr>
      <w:proofErr w:type="spellStart"/>
      <w:r w:rsidRPr="00593435">
        <w:rPr>
          <w:rFonts w:ascii="Times New Roman" w:hAnsi="Times New Roman" w:cs="Times New Roman"/>
          <w:sz w:val="24"/>
          <w:szCs w:val="24"/>
        </w:rPr>
        <w:t>Nghiên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cứu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sử</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dụng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mô</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hình</w:t>
      </w:r>
      <w:proofErr w:type="spellEnd"/>
      <w:r w:rsidRPr="00593435">
        <w:rPr>
          <w:rFonts w:ascii="Times New Roman" w:hAnsi="Times New Roman" w:cs="Times New Roman"/>
          <w:sz w:val="24"/>
          <w:szCs w:val="24"/>
        </w:rPr>
        <w:t xml:space="preserve"> SFA </w:t>
      </w:r>
      <w:proofErr w:type="spellStart"/>
      <w:r w:rsidRPr="00593435">
        <w:rPr>
          <w:rFonts w:ascii="Times New Roman" w:hAnsi="Times New Roman" w:cs="Times New Roman"/>
          <w:sz w:val="24"/>
          <w:szCs w:val="24"/>
        </w:rPr>
        <w:t>để</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ước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lượng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hiệu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quả</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ngân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w:t>
      </w:r>
      <w:r w:rsidR="00871545" w:rsidRPr="00593435">
        <w:rPr>
          <w:rFonts w:ascii="Times New Roman" w:hAnsi="Times New Roman" w:cs="Times New Roman"/>
          <w:sz w:val="24"/>
          <w:szCs w:val="24"/>
        </w:rPr>
        <w:t>à</w:t>
      </w:r>
      <w:r w:rsidRPr="00593435">
        <w:rPr>
          <w:rFonts w:ascii="Times New Roman" w:hAnsi="Times New Roman" w:cs="Times New Roman"/>
          <w:sz w:val="24"/>
          <w:szCs w:val="24"/>
        </w:rPr>
        <w:t>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Mô</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hình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này</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được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đề</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xuất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bởi</w:t>
      </w:r>
      <w:proofErr w:type="spellEnd"/>
      <w:r w:rsidRPr="00593435">
        <w:rPr>
          <w:rFonts w:ascii="Times New Roman" w:hAnsi="Times New Roman" w:cs="Times New Roman"/>
          <w:sz w:val="24"/>
          <w:szCs w:val="24"/>
        </w:rPr>
        <w:t xml:space="preserve"> Aigner &amp; </w:t>
      </w:r>
      <w:proofErr w:type="spellStart"/>
      <w:r w:rsidRPr="00593435">
        <w:rPr>
          <w:rFonts w:ascii="Times New Roman" w:hAnsi="Times New Roman" w:cs="Times New Roman"/>
          <w:sz w:val="24"/>
          <w:szCs w:val="24"/>
        </w:rPr>
        <w:t>cộng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sự</w:t>
      </w:r>
      <w:proofErr w:type="spellEnd"/>
      <w:r w:rsidRPr="00593435">
        <w:rPr>
          <w:rFonts w:ascii="Times New Roman" w:hAnsi="Times New Roman" w:cs="Times New Roman"/>
          <w:sz w:val="24"/>
          <w:szCs w:val="24"/>
        </w:rPr>
        <w:t xml:space="preserve"> (1977), </w:t>
      </w:r>
      <w:proofErr w:type="spellStart"/>
      <w:r w:rsidRPr="00593435">
        <w:rPr>
          <w:rFonts w:ascii="Times New Roman" w:hAnsi="Times New Roman" w:cs="Times New Roman"/>
          <w:sz w:val="24"/>
          <w:szCs w:val="24"/>
        </w:rPr>
        <w:t>Battese</w:t>
      </w:r>
      <w:proofErr w:type="spellEnd"/>
      <w:r w:rsidRPr="00593435">
        <w:rPr>
          <w:rFonts w:ascii="Times New Roman" w:hAnsi="Times New Roman" w:cs="Times New Roman"/>
          <w:sz w:val="24"/>
          <w:szCs w:val="24"/>
        </w:rPr>
        <w:t xml:space="preserve"> &amp; </w:t>
      </w:r>
      <w:proofErr w:type="spellStart"/>
      <w:r w:rsidRPr="00593435">
        <w:rPr>
          <w:rFonts w:ascii="Times New Roman" w:hAnsi="Times New Roman" w:cs="Times New Roman"/>
          <w:sz w:val="24"/>
          <w:szCs w:val="24"/>
        </w:rPr>
        <w:t>Corra</w:t>
      </w:r>
      <w:proofErr w:type="spellEnd"/>
      <w:r w:rsidRPr="00593435">
        <w:rPr>
          <w:rFonts w:ascii="Times New Roman" w:hAnsi="Times New Roman" w:cs="Times New Roman"/>
          <w:sz w:val="24"/>
          <w:szCs w:val="24"/>
        </w:rPr>
        <w:t xml:space="preserve"> (1977),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Meeusen &amp; van Den </w:t>
      </w:r>
      <w:proofErr w:type="spellStart"/>
      <w:r w:rsidRPr="00593435">
        <w:rPr>
          <w:rFonts w:ascii="Times New Roman" w:hAnsi="Times New Roman" w:cs="Times New Roman"/>
          <w:sz w:val="24"/>
          <w:szCs w:val="24"/>
        </w:rPr>
        <w:t>Broeck</w:t>
      </w:r>
      <w:proofErr w:type="spellEnd"/>
      <w:r w:rsidRPr="00593435">
        <w:rPr>
          <w:rFonts w:ascii="Times New Roman" w:hAnsi="Times New Roman" w:cs="Times New Roman"/>
          <w:sz w:val="24"/>
          <w:szCs w:val="24"/>
        </w:rPr>
        <w:t xml:space="preserve"> (1977). </w:t>
      </w:r>
      <w:proofErr w:type="spellStart"/>
      <w:r w:rsidRPr="00593435">
        <w:rPr>
          <w:rFonts w:ascii="Times New Roman" w:hAnsi="Times New Roman" w:cs="Times New Roman"/>
          <w:sz w:val="24"/>
          <w:szCs w:val="24"/>
        </w:rPr>
        <w:t>Dựa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trên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nghiên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cứu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trước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đây</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giả</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sử</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dụng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hàm</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translog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có</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dạng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như</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sau</w:t>
      </w:r>
      <w:proofErr w:type="spellEnd"/>
      <w:r w:rsidRPr="00593435">
        <w:rPr>
          <w:rFonts w:ascii="Times New Roman" w:hAnsi="Times New Roman" w:cs="Times New Roman"/>
          <w:sz w:val="24"/>
          <w:szCs w:val="24"/>
        </w:rPr>
        <w:t>:</w:t>
      </w:r>
    </w:p>
    <w:p w14:paraId="5D8100B0" w14:textId="141F8896" w:rsidR="00891017" w:rsidRPr="00891017" w:rsidRDefault="00D064B4" w:rsidP="008218C1">
      <w:pPr>
        <w:pStyle w:val="MTDisplayEquation"/>
        <w:spacing w:before="120" w:after="0" w:line="312" w:lineRule="auto"/>
      </w:pPr>
      <w:r w:rsidRPr="00D064B4">
        <w:rPr>
          <w:noProof/>
        </w:rPr>
        <mc:AlternateContent>
          <mc:Choice Requires="wps">
            <w:drawing>
              <wp:anchor distT="45720" distB="45720" distL="114300" distR="114300" simplePos="0" relativeHeight="251659264" behindDoc="0" locked="0" layoutInCell="1" allowOverlap="1" wp14:anchorId="620F27D7" wp14:editId="3F2683FE">
                <wp:simplePos x="0" y="0"/>
                <wp:positionH relativeFrom="column">
                  <wp:posOffset>5907405</wp:posOffset>
                </wp:positionH>
                <wp:positionV relativeFrom="paragraph">
                  <wp:posOffset>544830</wp:posOffset>
                </wp:positionV>
                <wp:extent cx="414337" cy="300037"/>
                <wp:effectExtent l="0" t="0" r="508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 cy="300037"/>
                        </a:xfrm>
                        <a:prstGeom prst="rect">
                          <a:avLst/>
                        </a:prstGeom>
                        <a:solidFill>
                          <a:srgbClr val="FFFFFF"/>
                        </a:solidFill>
                        <a:ln w="9525">
                          <a:noFill/>
                          <a:miter lim="800000"/>
                          <a:headEnd/>
                          <a:tailEnd/>
                        </a:ln>
                      </wps:spPr>
                      <wps:txbx>
                        <w:txbxContent>
                          <w:p w14:paraId="66F0D013" w14:textId="2F68DDC0" w:rsidR="00D064B4" w:rsidRDefault="00D064B4">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0F27D7" id="_x0000_t202" coordsize="21600,21600" o:spt="202" path="m,l,21600r21600,l21600,xe">
                <v:stroke joinstyle="miter"/>
                <v:path gradientshapeok="t" o:connecttype="rect"/>
              </v:shapetype>
              <v:shape id="Text Box 2" o:spid="_x0000_s1026" type="#_x0000_t202" style="position:absolute;left:0;text-align:left;margin-left:465.15pt;margin-top:42.9pt;width:32.6pt;height:2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" stroked="f">
                <v:textbox>
                  <w:txbxContent>
                    <w:p w14:paraId="66F0D013" w14:textId="2F68DDC0" w:rsidR="00D064B4" w:rsidRDefault="00D064B4">
                      <w:r>
                        <w:t>(1)</w:t>
                      </w:r>
                    </w:p>
                  </w:txbxContent>
                </v:textbox>
              </v:shape>
            </w:pict>
          </mc:Fallback>
        </mc:AlternateContent>
      </w:r>
      <w:r w:rsidR="00891017">
        <w:tab/>
      </w:r>
      <w:r w:rsidR="00C0110C" w:rsidRPr="00C0110C">
        <w:rPr>
          <w:position w:val="-134"/>
        </w:rPr>
        <w:object w:dxaOrig="9580" w:dyaOrig="2799" w14:anchorId="3D2D4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5pt;height:139.85pt" o:ole="">
            <v:imagedata r:id="rId8" o:title=""/>
          </v:shape>
          <o:OLEObject Type="Embed" ProgID="Equation.DSMT4" ShapeID="_x0000_i1025" DrawAspect="Content" ObjectID="_1745648814" r:id="rId9"/>
        </w:object>
      </w:r>
    </w:p>
    <w:p w14:paraId="0F632C55" w14:textId="2226FF0E" w:rsidR="00EC31EC" w:rsidRPr="00593435" w:rsidRDefault="00D064B4" w:rsidP="008218C1">
      <w:pPr>
        <w:pStyle w:val="MTDisplayEquation"/>
        <w:spacing w:before="120" w:after="0" w:line="312" w:lineRule="auto"/>
      </w:pPr>
      <w:r w:rsidRPr="00D064B4">
        <w:rPr>
          <w:noProof/>
        </w:rPr>
        <w:lastRenderedPageBreak/>
        <mc:AlternateContent>
          <mc:Choice Requires="wps">
            <w:drawing>
              <wp:anchor distT="45720" distB="45720" distL="114300" distR="114300" simplePos="0" relativeHeight="251661312" behindDoc="0" locked="0" layoutInCell="1" allowOverlap="1" wp14:anchorId="51550B43" wp14:editId="6DDD9886">
                <wp:simplePos x="0" y="0"/>
                <wp:positionH relativeFrom="column">
                  <wp:posOffset>5950902</wp:posOffset>
                </wp:positionH>
                <wp:positionV relativeFrom="paragraph">
                  <wp:posOffset>692150</wp:posOffset>
                </wp:positionV>
                <wp:extent cx="414337" cy="300037"/>
                <wp:effectExtent l="0" t="0" r="508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 cy="300037"/>
                        </a:xfrm>
                        <a:prstGeom prst="rect">
                          <a:avLst/>
                        </a:prstGeom>
                        <a:solidFill>
                          <a:srgbClr val="FFFFFF"/>
                        </a:solidFill>
                        <a:ln w="9525">
                          <a:noFill/>
                          <a:miter lim="800000"/>
                          <a:headEnd/>
                          <a:tailEnd/>
                        </a:ln>
                      </wps:spPr>
                      <wps:txbx>
                        <w:txbxContent>
                          <w:p w14:paraId="660E36D9" w14:textId="71A5A361" w:rsidR="00D064B4" w:rsidRDefault="00D064B4" w:rsidP="00D064B4">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50B43" id="_x0000_s1027" type="#_x0000_t202" style="position:absolute;left:0;text-align:left;margin-left:468.55pt;margin-top:54.5pt;width:32.6pt;height:2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" stroked="f">
                <v:textbox>
                  <w:txbxContent>
                    <w:p w14:paraId="660E36D9" w14:textId="71A5A361" w:rsidR="00D064B4" w:rsidRDefault="00D064B4" w:rsidP="00D064B4">
                      <w:r>
                        <w:t>(</w:t>
                      </w:r>
                      <w:r>
                        <w:t>2</w:t>
                      </w:r>
                      <w:r>
                        <w:t>)</w:t>
                      </w:r>
                    </w:p>
                  </w:txbxContent>
                </v:textbox>
              </v:shape>
            </w:pict>
          </mc:Fallback>
        </mc:AlternateContent>
      </w:r>
      <w:r w:rsidR="00C0110C">
        <w:tab/>
      </w:r>
      <w:r w:rsidRPr="00C0110C">
        <w:rPr>
          <w:position w:val="-134"/>
        </w:rPr>
        <w:object w:dxaOrig="9420" w:dyaOrig="2799" w14:anchorId="4DDC57BF">
          <v:shape id="_x0000_i1026" type="#_x0000_t75" style="width:470.85pt;height:139.85pt" o:ole="">
            <v:imagedata r:id="rId10" o:title=""/>
          </v:shape>
          <o:OLEObject Type="Embed" ProgID="Equation.DSMT4" ShapeID="_x0000_i1026" DrawAspect="Content" ObjectID="_1745648815" r:id="rId11"/>
        </w:object>
      </w:r>
    </w:p>
    <w:p w14:paraId="6AA86AB4" w14:textId="652C1887" w:rsidR="0090385D" w:rsidRPr="00593435" w:rsidRDefault="00310084" w:rsidP="008218C1">
      <w:pPr>
        <w:spacing w:before="120" w:after="0" w:line="312" w:lineRule="auto"/>
        <w:ind w:firstLine="720"/>
        <w:jc w:val="both"/>
        <w:rPr>
          <w:rFonts w:ascii="Times New Roman" w:hAnsi="Times New Roman" w:cs="Times New Roman"/>
          <w:sz w:val="24"/>
          <w:szCs w:val="24"/>
        </w:rPr>
      </w:pPr>
      <w:r w:rsidRPr="00593435">
        <w:rPr>
          <w:rFonts w:ascii="Times New Roman" w:hAnsi="Times New Roman" w:cs="Times New Roman"/>
          <w:sz w:val="24"/>
          <w:szCs w:val="24"/>
        </w:rPr>
        <w:t xml:space="preserve">Trong </w:t>
      </w:r>
      <w:proofErr w:type="spellStart"/>
      <w:r w:rsidRPr="00593435">
        <w:rPr>
          <w:rFonts w:ascii="Times New Roman" w:hAnsi="Times New Roman" w:cs="Times New Roman"/>
          <w:sz w:val="24"/>
          <w:szCs w:val="24"/>
        </w:rPr>
        <w:t>đó</w:t>
      </w:r>
      <w:proofErr w:type="spellEnd"/>
      <w:r w:rsidRPr="00593435">
        <w:rPr>
          <w:rFonts w:ascii="Times New Roman" w:hAnsi="Times New Roman" w:cs="Times New Roman"/>
          <w:sz w:val="24"/>
          <w:szCs w:val="24"/>
        </w:rPr>
        <w:t xml:space="preserve"> PBT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TC </w:t>
      </w:r>
      <w:proofErr w:type="spellStart"/>
      <w:r w:rsidRPr="00593435">
        <w:rPr>
          <w:rFonts w:ascii="Times New Roman" w:hAnsi="Times New Roman" w:cs="Times New Roman"/>
          <w:sz w:val="24"/>
          <w:szCs w:val="24"/>
        </w:rPr>
        <w:t>lần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lượt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lợi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nhuận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trước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thuế</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tổng</w:t>
      </w:r>
      <w:proofErr w:type="spellEnd"/>
      <w:r w:rsidRPr="00593435">
        <w:rPr>
          <w:rFonts w:ascii="Times New Roman" w:hAnsi="Times New Roman" w:cs="Times New Roman"/>
          <w:sz w:val="24"/>
          <w:szCs w:val="24"/>
        </w:rPr>
        <w:t xml:space="preserve"> chi </w:t>
      </w:r>
      <w:proofErr w:type="spellStart"/>
      <w:r w:rsidRPr="00593435">
        <w:rPr>
          <w:rFonts w:ascii="Times New Roman" w:hAnsi="Times New Roman" w:cs="Times New Roman"/>
          <w:sz w:val="24"/>
          <w:szCs w:val="24"/>
        </w:rPr>
        <w:t>phí</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của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ngân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w:t>
      </w:r>
      <w:r w:rsidR="0090385D" w:rsidRPr="00593435">
        <w:rPr>
          <w:rFonts w:ascii="Times New Roman" w:hAnsi="Times New Roman" w:cs="Times New Roman"/>
          <w:sz w:val="24"/>
          <w:szCs w:val="24"/>
        </w:rPr>
        <w:t>à</w:t>
      </w:r>
      <w:r w:rsidRPr="00593435">
        <w:rPr>
          <w:rFonts w:ascii="Times New Roman" w:hAnsi="Times New Roman" w:cs="Times New Roman"/>
          <w:sz w:val="24"/>
          <w:szCs w:val="24"/>
        </w:rPr>
        <w:t>ng</w:t>
      </w:r>
      <w:proofErr w:type="spellEnd"/>
      <w:r w:rsidRPr="00593435">
        <w:rPr>
          <w:rFonts w:ascii="Times New Roman" w:hAnsi="Times New Roman" w:cs="Times New Roman"/>
          <w:sz w:val="24"/>
          <w:szCs w:val="24"/>
        </w:rPr>
        <w:t xml:space="preserve">. </w:t>
      </w:r>
      <w:r w:rsidR="0090385D" w:rsidRPr="00593435">
        <w:rPr>
          <w:rFonts w:ascii="Times New Roman" w:hAnsi="Times New Roman" w:cs="Times New Roman"/>
          <w:sz w:val="24"/>
          <w:szCs w:val="24"/>
        </w:rPr>
        <w:t xml:space="preserve">β </w:t>
      </w:r>
      <w:proofErr w:type="spellStart"/>
      <w:r w:rsidR="0090385D" w:rsidRPr="00593435">
        <w:rPr>
          <w:rFonts w:ascii="Times New Roman" w:hAnsi="Times New Roman" w:cs="Times New Roman"/>
          <w:sz w:val="24"/>
          <w:szCs w:val="24"/>
        </w:rPr>
        <w:t>là</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các</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tham</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số</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ước</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lượng</w:t>
      </w:r>
      <w:proofErr w:type="spellEnd"/>
      <w:r w:rsidR="002643AA" w:rsidRPr="00593435">
        <w:rPr>
          <w:rFonts w:ascii="Times New Roman" w:hAnsi="Times New Roman" w:cs="Times New Roman"/>
          <w:sz w:val="24"/>
          <w:szCs w:val="24"/>
        </w:rPr>
        <w:t>,</w:t>
      </w:r>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v</w:t>
      </w:r>
      <w:r w:rsidR="0090385D" w:rsidRPr="00593435">
        <w:rPr>
          <w:rFonts w:ascii="Times New Roman" w:hAnsi="Times New Roman" w:cs="Times New Roman"/>
          <w:sz w:val="24"/>
          <w:szCs w:val="24"/>
          <w:vertAlign w:val="subscript"/>
        </w:rPr>
        <w:t>i,t</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là</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sai</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số</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ngẫu</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nhiên</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tuân</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theo</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phân</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phối</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chuẩn</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và</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u</w:t>
      </w:r>
      <w:r w:rsidR="0090385D" w:rsidRPr="00593435">
        <w:rPr>
          <w:rFonts w:ascii="Times New Roman" w:hAnsi="Times New Roman" w:cs="Times New Roman"/>
          <w:sz w:val="24"/>
          <w:szCs w:val="24"/>
          <w:vertAlign w:val="subscript"/>
        </w:rPr>
        <w:t>i,t</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là</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sự</w:t>
      </w:r>
      <w:proofErr w:type="spellEnd"/>
      <w:r w:rsidR="0090385D" w:rsidRPr="00593435">
        <w:rPr>
          <w:rFonts w:ascii="Times New Roman" w:hAnsi="Times New Roman" w:cs="Times New Roman"/>
          <w:sz w:val="24"/>
          <w:szCs w:val="24"/>
        </w:rPr>
        <w:t xml:space="preserve"> phi </w:t>
      </w:r>
      <w:proofErr w:type="spellStart"/>
      <w:r w:rsidR="0090385D" w:rsidRPr="00593435">
        <w:rPr>
          <w:rFonts w:ascii="Times New Roman" w:hAnsi="Times New Roman" w:cs="Times New Roman"/>
          <w:sz w:val="24"/>
          <w:szCs w:val="24"/>
        </w:rPr>
        <w:t>hiệu</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quả</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tuân</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theo</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phân</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phối</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chuẩn</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cụt</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Các</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tham</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số</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trong</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hàm</w:t>
      </w:r>
      <w:proofErr w:type="spellEnd"/>
      <w:r w:rsidR="0090385D" w:rsidRPr="00593435">
        <w:rPr>
          <w:rFonts w:ascii="Times New Roman" w:hAnsi="Times New Roman" w:cs="Times New Roman"/>
          <w:sz w:val="24"/>
          <w:szCs w:val="24"/>
        </w:rPr>
        <w:t xml:space="preserve"> chi </w:t>
      </w:r>
      <w:proofErr w:type="spellStart"/>
      <w:r w:rsidR="0090385D" w:rsidRPr="00593435">
        <w:rPr>
          <w:rFonts w:ascii="Times New Roman" w:hAnsi="Times New Roman" w:cs="Times New Roman"/>
          <w:sz w:val="24"/>
          <w:szCs w:val="24"/>
        </w:rPr>
        <w:t>phí</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sẽ</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được</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ước</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lượng</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theo</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phương</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pháp</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khả</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năng</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tối</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đa</w:t>
      </w:r>
      <w:proofErr w:type="spellEnd"/>
      <w:r w:rsidR="0090385D" w:rsidRPr="00593435">
        <w:rPr>
          <w:rFonts w:ascii="Times New Roman" w:hAnsi="Times New Roman" w:cs="Times New Roman"/>
          <w:sz w:val="24"/>
          <w:szCs w:val="24"/>
        </w:rPr>
        <w:t xml:space="preserve"> (Maximum Likelihood).</w:t>
      </w:r>
    </w:p>
    <w:p w14:paraId="5A127393" w14:textId="27BDC0A1" w:rsidR="00310084" w:rsidRPr="00593435" w:rsidRDefault="00310084" w:rsidP="008218C1">
      <w:pPr>
        <w:spacing w:before="120" w:after="0" w:line="312" w:lineRule="auto"/>
        <w:ind w:firstLine="720"/>
        <w:jc w:val="both"/>
        <w:rPr>
          <w:rFonts w:ascii="Times New Roman" w:hAnsi="Times New Roman" w:cs="Times New Roman"/>
          <w:sz w:val="24"/>
          <w:szCs w:val="24"/>
        </w:rPr>
      </w:pP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biến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đầu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vào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đầu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ra</w:t>
      </w:r>
      <w:proofErr w:type="spellEnd"/>
      <w:r w:rsidRPr="00593435">
        <w:rPr>
          <w:rFonts w:ascii="Times New Roman" w:hAnsi="Times New Roman" w:cs="Times New Roman"/>
          <w:sz w:val="24"/>
          <w:szCs w:val="24"/>
        </w:rPr>
        <w:t xml:space="preserve"> (P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W) </w:t>
      </w:r>
      <w:proofErr w:type="spellStart"/>
      <w:r w:rsidRPr="00593435">
        <w:rPr>
          <w:rFonts w:ascii="Times New Roman" w:hAnsi="Times New Roman" w:cs="Times New Roman"/>
          <w:sz w:val="24"/>
          <w:szCs w:val="24"/>
        </w:rPr>
        <w:t>được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lựa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chọn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dựa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trên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phương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pháp</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trung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gian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giả</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định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rằng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ngân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hàng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hoạt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động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như</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một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trung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gian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tài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chính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giữa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người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gửi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tiền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người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vay</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bằng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nhận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tiền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từ</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người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gửi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tiền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sau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đó</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chuyển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khoản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tiền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này</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thành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khoản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vay</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tài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sản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khác</w:t>
      </w:r>
      <w:proofErr w:type="spellEnd"/>
      <w:r w:rsidRPr="00593435">
        <w:rPr>
          <w:rFonts w:ascii="Times New Roman" w:hAnsi="Times New Roman" w:cs="Times New Roman"/>
          <w:sz w:val="24"/>
          <w:szCs w:val="24"/>
        </w:rPr>
        <w:t xml:space="preserve"> (Berger &amp; Humphrey, 1997). </w:t>
      </w:r>
      <w:proofErr w:type="spellStart"/>
      <w:r w:rsidRPr="00593435">
        <w:rPr>
          <w:rFonts w:ascii="Times New Roman" w:hAnsi="Times New Roman" w:cs="Times New Roman"/>
          <w:sz w:val="24"/>
          <w:szCs w:val="24"/>
        </w:rPr>
        <w:t>Cụ</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thể</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giá</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đầu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ra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trong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mô</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hình</w:t>
      </w:r>
      <w:proofErr w:type="spellEnd"/>
      <w:r w:rsidRPr="00593435">
        <w:rPr>
          <w:rFonts w:ascii="Times New Roman" w:hAnsi="Times New Roman" w:cs="Times New Roman"/>
          <w:sz w:val="24"/>
          <w:szCs w:val="24"/>
        </w:rPr>
        <w:t xml:space="preserve"> bao </w:t>
      </w:r>
      <w:proofErr w:type="spellStart"/>
      <w:r w:rsidRPr="00593435">
        <w:rPr>
          <w:rFonts w:ascii="Times New Roman" w:hAnsi="Times New Roman" w:cs="Times New Roman"/>
          <w:sz w:val="24"/>
          <w:szCs w:val="24"/>
        </w:rPr>
        <w:t>gồm</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i</w:t>
      </w:r>
      <w:proofErr w:type="spellEnd"/>
      <w:r w:rsidRPr="00593435">
        <w:rPr>
          <w:rFonts w:ascii="Times New Roman" w:hAnsi="Times New Roman" w:cs="Times New Roman"/>
          <w:sz w:val="24"/>
          <w:szCs w:val="24"/>
        </w:rPr>
        <w:t>)</w:t>
      </w:r>
      <w:r w:rsidR="002643AA"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khoản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lãi</w:t>
      </w:r>
      <w:proofErr w:type="spellEnd"/>
      <w:r w:rsidR="002643AA" w:rsidRPr="00593435">
        <w:rPr>
          <w:rFonts w:ascii="Times New Roman" w:hAnsi="Times New Roman" w:cs="Times New Roman"/>
          <w:sz w:val="24"/>
          <w:szCs w:val="24"/>
        </w:rPr>
        <w:t>/</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khoản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vay</w:t>
      </w:r>
      <w:proofErr w:type="spellEnd"/>
      <w:r w:rsidRPr="00593435">
        <w:rPr>
          <w:rFonts w:ascii="Times New Roman" w:hAnsi="Times New Roman" w:cs="Times New Roman"/>
          <w:sz w:val="24"/>
          <w:szCs w:val="24"/>
        </w:rPr>
        <w:t xml:space="preserve"> (P1)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(ii)</w:t>
      </w:r>
      <w:r w:rsidR="002643AA"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khoản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ngoài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lãi</w:t>
      </w:r>
      <w:proofErr w:type="spellEnd"/>
      <w:r w:rsidR="002643AA" w:rsidRPr="00593435">
        <w:rPr>
          <w:rFonts w:ascii="Times New Roman" w:hAnsi="Times New Roman" w:cs="Times New Roman"/>
          <w:sz w:val="24"/>
          <w:szCs w:val="24"/>
        </w:rPr>
        <w:t>/</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tài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sản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sinh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lời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khác</w:t>
      </w:r>
      <w:proofErr w:type="spellEnd"/>
      <w:r w:rsidRPr="00593435">
        <w:rPr>
          <w:rFonts w:ascii="Times New Roman" w:hAnsi="Times New Roman" w:cs="Times New Roman"/>
          <w:sz w:val="24"/>
          <w:szCs w:val="24"/>
        </w:rPr>
        <w:t xml:space="preserve"> (P2). </w:t>
      </w:r>
      <w:proofErr w:type="spellStart"/>
      <w:r w:rsidRPr="00593435">
        <w:rPr>
          <w:rFonts w:ascii="Times New Roman" w:hAnsi="Times New Roman" w:cs="Times New Roman"/>
          <w:sz w:val="24"/>
          <w:szCs w:val="24"/>
        </w:rPr>
        <w:t>Giá</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đầu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vào</w:t>
      </w:r>
      <w:proofErr w:type="spellEnd"/>
      <w:r w:rsidRPr="00593435">
        <w:rPr>
          <w:rFonts w:ascii="Times New Roman" w:hAnsi="Times New Roman" w:cs="Times New Roman"/>
          <w:sz w:val="24"/>
          <w:szCs w:val="24"/>
        </w:rPr>
        <w:t xml:space="preserve"> bao </w:t>
      </w:r>
      <w:proofErr w:type="spellStart"/>
      <w:r w:rsidRPr="00593435">
        <w:rPr>
          <w:rFonts w:ascii="Times New Roman" w:hAnsi="Times New Roman" w:cs="Times New Roman"/>
          <w:sz w:val="24"/>
          <w:szCs w:val="24"/>
        </w:rPr>
        <w:t>gồm</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i</w:t>
      </w:r>
      <w:proofErr w:type="spellEnd"/>
      <w:r w:rsidRPr="00593435">
        <w:rPr>
          <w:rFonts w:ascii="Times New Roman" w:hAnsi="Times New Roman" w:cs="Times New Roman"/>
          <w:sz w:val="24"/>
          <w:szCs w:val="24"/>
        </w:rPr>
        <w:t xml:space="preserve">) chi </w:t>
      </w:r>
      <w:proofErr w:type="spellStart"/>
      <w:r w:rsidRPr="00593435">
        <w:rPr>
          <w:rFonts w:ascii="Times New Roman" w:hAnsi="Times New Roman" w:cs="Times New Roman"/>
          <w:sz w:val="24"/>
          <w:szCs w:val="24"/>
        </w:rPr>
        <w:t>phí</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lãi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vay</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tổng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tiền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gửi</w:t>
      </w:r>
      <w:proofErr w:type="spellEnd"/>
      <w:r w:rsidRPr="00593435">
        <w:rPr>
          <w:rFonts w:ascii="Times New Roman" w:hAnsi="Times New Roman" w:cs="Times New Roman"/>
          <w:sz w:val="24"/>
          <w:szCs w:val="24"/>
        </w:rPr>
        <w:t xml:space="preserve"> (W1), (ii) chi </w:t>
      </w:r>
      <w:proofErr w:type="spellStart"/>
      <w:r w:rsidRPr="00593435">
        <w:rPr>
          <w:rFonts w:ascii="Times New Roman" w:hAnsi="Times New Roman" w:cs="Times New Roman"/>
          <w:sz w:val="24"/>
          <w:szCs w:val="24"/>
        </w:rPr>
        <w:t>phí</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hoạt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động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khác</w:t>
      </w:r>
      <w:proofErr w:type="spellEnd"/>
      <w:r w:rsidRPr="00593435">
        <w:rPr>
          <w:rFonts w:ascii="Times New Roman" w:hAnsi="Times New Roman" w:cs="Times New Roman"/>
          <w:sz w:val="24"/>
          <w:szCs w:val="24"/>
        </w:rPr>
        <w:t>/</w:t>
      </w:r>
      <w:proofErr w:type="spellStart"/>
      <w:r w:rsidRPr="00593435">
        <w:rPr>
          <w:rFonts w:ascii="Times New Roman" w:hAnsi="Times New Roman" w:cs="Times New Roman"/>
          <w:sz w:val="24"/>
          <w:szCs w:val="24"/>
        </w:rPr>
        <w:t>tổng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tài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sản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cố</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định</w:t>
      </w:r>
      <w:proofErr w:type="spellEnd"/>
      <w:r w:rsidRPr="00593435">
        <w:rPr>
          <w:rFonts w:ascii="Times New Roman" w:hAnsi="Times New Roman" w:cs="Times New Roman"/>
          <w:sz w:val="24"/>
          <w:szCs w:val="24"/>
        </w:rPr>
        <w:t xml:space="preserve"> (W2)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(iii) chi </w:t>
      </w:r>
      <w:proofErr w:type="spellStart"/>
      <w:r w:rsidRPr="00593435">
        <w:rPr>
          <w:rFonts w:ascii="Times New Roman" w:hAnsi="Times New Roman" w:cs="Times New Roman"/>
          <w:sz w:val="24"/>
          <w:szCs w:val="24"/>
        </w:rPr>
        <w:t>phí</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nhân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viên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tổng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tài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sản</w:t>
      </w:r>
      <w:proofErr w:type="spellEnd"/>
      <w:r w:rsidRPr="00593435">
        <w:rPr>
          <w:rFonts w:ascii="Times New Roman" w:hAnsi="Times New Roman" w:cs="Times New Roman"/>
          <w:sz w:val="24"/>
          <w:szCs w:val="24"/>
        </w:rPr>
        <w:t xml:space="preserve"> (W3). W3 </w:t>
      </w:r>
      <w:proofErr w:type="spellStart"/>
      <w:r w:rsidRPr="00593435">
        <w:rPr>
          <w:rFonts w:ascii="Times New Roman" w:hAnsi="Times New Roman" w:cs="Times New Roman"/>
          <w:sz w:val="24"/>
          <w:szCs w:val="24"/>
        </w:rPr>
        <w:t>được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sử</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dụng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để</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chuẩn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hóa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tất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cả</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biến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phụ</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thuộc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giá</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đầu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vào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đầu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ra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để</w:t>
      </w:r>
      <w:proofErr w:type="spellEnd"/>
      <w:r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thực</w:t>
      </w:r>
      <w:proofErr w:type="spellEnd"/>
      <w:r w:rsidR="0090385D" w:rsidRPr="00593435">
        <w:rPr>
          <w:rFonts w:ascii="Times New Roman" w:hAnsi="Times New Roman" w:cs="Times New Roman"/>
          <w:sz w:val="24"/>
          <w:szCs w:val="24"/>
        </w:rPr>
        <w:t xml:space="preserve"> </w:t>
      </w:r>
      <w:proofErr w:type="spellStart"/>
      <w:r w:rsidR="0090385D" w:rsidRPr="00593435">
        <w:rPr>
          <w:rFonts w:ascii="Times New Roman" w:hAnsi="Times New Roman" w:cs="Times New Roman"/>
          <w:sz w:val="24"/>
          <w:szCs w:val="24"/>
        </w:rPr>
        <w:t>hiện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hạn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chế</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về</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đồng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nhất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tuyến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tính</w:t>
      </w:r>
      <w:proofErr w:type="spellEnd"/>
      <w:r w:rsidRPr="00593435">
        <w:rPr>
          <w:rFonts w:ascii="Times New Roman" w:hAnsi="Times New Roman" w:cs="Times New Roman"/>
          <w:sz w:val="24"/>
          <w:szCs w:val="24"/>
        </w:rPr>
        <w:t xml:space="preserve"> (Berger &amp; </w:t>
      </w:r>
      <w:proofErr w:type="spellStart"/>
      <w:r w:rsidRPr="00593435">
        <w:rPr>
          <w:rFonts w:ascii="Times New Roman" w:hAnsi="Times New Roman" w:cs="Times New Roman"/>
          <w:sz w:val="24"/>
          <w:szCs w:val="24"/>
        </w:rPr>
        <w:t>Mester</w:t>
      </w:r>
      <w:proofErr w:type="spellEnd"/>
      <w:r w:rsidRPr="00593435">
        <w:rPr>
          <w:rFonts w:ascii="Times New Roman" w:hAnsi="Times New Roman" w:cs="Times New Roman"/>
          <w:sz w:val="24"/>
          <w:szCs w:val="24"/>
        </w:rPr>
        <w:t>, 1997).</w:t>
      </w:r>
    </w:p>
    <w:p w14:paraId="10E8B5BB" w14:textId="37DAB9D4" w:rsidR="0090385D" w:rsidRPr="00593435" w:rsidRDefault="0090385D" w:rsidP="008218C1">
      <w:pPr>
        <w:spacing w:before="120" w:after="0" w:line="312" w:lineRule="auto"/>
        <w:ind w:firstLine="720"/>
        <w:jc w:val="both"/>
        <w:rPr>
          <w:rFonts w:ascii="Times New Roman" w:hAnsi="Times New Roman" w:cs="Times New Roman"/>
          <w:sz w:val="24"/>
          <w:szCs w:val="24"/>
        </w:rPr>
      </w:pPr>
      <w:proofErr w:type="spellStart"/>
      <w:r w:rsidRPr="00593435">
        <w:rPr>
          <w:rFonts w:ascii="Times New Roman" w:hAnsi="Times New Roman" w:cs="Times New Roman"/>
          <w:sz w:val="24"/>
          <w:szCs w:val="24"/>
        </w:rPr>
        <w:t>Ngoài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ra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giả</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cũng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đưa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mức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vốn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chủ</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sở</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hữu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ngân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hàng</w:t>
      </w:r>
      <w:proofErr w:type="spellEnd"/>
      <w:r w:rsidRPr="00593435">
        <w:rPr>
          <w:rFonts w:ascii="Times New Roman" w:hAnsi="Times New Roman" w:cs="Times New Roman"/>
          <w:sz w:val="24"/>
          <w:szCs w:val="24"/>
        </w:rPr>
        <w:t xml:space="preserve"> (EQ) </w:t>
      </w:r>
      <w:proofErr w:type="spellStart"/>
      <w:r w:rsidRPr="00593435">
        <w:rPr>
          <w:rFonts w:ascii="Times New Roman" w:hAnsi="Times New Roman" w:cs="Times New Roman"/>
          <w:sz w:val="24"/>
          <w:szCs w:val="24"/>
        </w:rPr>
        <w:t>làm</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đầu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vào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trong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mô</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hình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biên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vì</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vốn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chủ</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sở</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hữu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ảnh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hưởng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đến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hiệu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quả</w:t>
      </w:r>
      <w:proofErr w:type="spellEnd"/>
      <w:r w:rsidRPr="00593435">
        <w:rPr>
          <w:rFonts w:ascii="Times New Roman" w:hAnsi="Times New Roman" w:cs="Times New Roman"/>
          <w:sz w:val="24"/>
          <w:szCs w:val="24"/>
        </w:rPr>
        <w:t xml:space="preserve"> chi </w:t>
      </w:r>
      <w:proofErr w:type="spellStart"/>
      <w:r w:rsidRPr="00593435">
        <w:rPr>
          <w:rFonts w:ascii="Times New Roman" w:hAnsi="Times New Roman" w:cs="Times New Roman"/>
          <w:sz w:val="24"/>
          <w:szCs w:val="24"/>
        </w:rPr>
        <w:t>phí</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lợi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nhuận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phản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ánh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mức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độ</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ưa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thích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rủi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ro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khác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nhau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của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ngân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hàng</w:t>
      </w:r>
      <w:proofErr w:type="spellEnd"/>
      <w:r w:rsidRPr="00593435">
        <w:rPr>
          <w:rFonts w:ascii="Times New Roman" w:hAnsi="Times New Roman" w:cs="Times New Roman"/>
          <w:sz w:val="24"/>
          <w:szCs w:val="24"/>
        </w:rPr>
        <w:t xml:space="preserve"> (Berger &amp; </w:t>
      </w:r>
      <w:proofErr w:type="spellStart"/>
      <w:r w:rsidRPr="00593435">
        <w:rPr>
          <w:rFonts w:ascii="Times New Roman" w:hAnsi="Times New Roman" w:cs="Times New Roman"/>
          <w:sz w:val="24"/>
          <w:szCs w:val="24"/>
        </w:rPr>
        <w:t>Mester</w:t>
      </w:r>
      <w:proofErr w:type="spellEnd"/>
      <w:r w:rsidRPr="00593435">
        <w:rPr>
          <w:rFonts w:ascii="Times New Roman" w:hAnsi="Times New Roman" w:cs="Times New Roman"/>
          <w:sz w:val="24"/>
          <w:szCs w:val="24"/>
        </w:rPr>
        <w:t xml:space="preserve">, 1997; </w:t>
      </w:r>
      <w:proofErr w:type="spellStart"/>
      <w:r w:rsidRPr="00593435">
        <w:rPr>
          <w:rFonts w:ascii="Times New Roman" w:hAnsi="Times New Roman" w:cs="Times New Roman"/>
          <w:sz w:val="24"/>
          <w:szCs w:val="24"/>
        </w:rPr>
        <w:t>Mester</w:t>
      </w:r>
      <w:proofErr w:type="spellEnd"/>
      <w:r w:rsidRPr="00593435">
        <w:rPr>
          <w:rFonts w:ascii="Times New Roman" w:hAnsi="Times New Roman" w:cs="Times New Roman"/>
          <w:sz w:val="24"/>
          <w:szCs w:val="24"/>
        </w:rPr>
        <w:t xml:space="preserve">, 1996). </w:t>
      </w:r>
      <w:proofErr w:type="spellStart"/>
      <w:r w:rsidRPr="00593435">
        <w:rPr>
          <w:rFonts w:ascii="Times New Roman" w:hAnsi="Times New Roman" w:cs="Times New Roman"/>
          <w:sz w:val="24"/>
          <w:szCs w:val="24"/>
        </w:rPr>
        <w:t>Để</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tính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đến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động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của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những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thay</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đổi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công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nghệ</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theo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thời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gian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biến</w:t>
      </w:r>
      <w:proofErr w:type="spellEnd"/>
      <w:r w:rsidRPr="00593435">
        <w:rPr>
          <w:rFonts w:ascii="Times New Roman" w:hAnsi="Times New Roman" w:cs="Times New Roman"/>
          <w:sz w:val="24"/>
          <w:szCs w:val="24"/>
        </w:rPr>
        <w:t xml:space="preserve"> xu </w:t>
      </w:r>
      <w:proofErr w:type="spellStart"/>
      <w:r w:rsidRPr="00593435">
        <w:rPr>
          <w:rFonts w:ascii="Times New Roman" w:hAnsi="Times New Roman" w:cs="Times New Roman"/>
          <w:sz w:val="24"/>
          <w:szCs w:val="24"/>
        </w:rPr>
        <w:t>hướng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thời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gian</w:t>
      </w:r>
      <w:proofErr w:type="spellEnd"/>
      <w:r w:rsidRPr="00593435">
        <w:rPr>
          <w:rFonts w:ascii="Times New Roman" w:hAnsi="Times New Roman" w:cs="Times New Roman"/>
          <w:sz w:val="24"/>
          <w:szCs w:val="24"/>
        </w:rPr>
        <w:t xml:space="preserve"> (t) </w:t>
      </w:r>
      <w:proofErr w:type="spellStart"/>
      <w:r w:rsidRPr="00593435">
        <w:rPr>
          <w:rFonts w:ascii="Times New Roman" w:hAnsi="Times New Roman" w:cs="Times New Roman"/>
          <w:sz w:val="24"/>
          <w:szCs w:val="24"/>
        </w:rPr>
        <w:t>được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đưa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vào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mô</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hình</w:t>
      </w:r>
      <w:proofErr w:type="spellEnd"/>
      <w:r w:rsidRPr="00593435">
        <w:rPr>
          <w:rFonts w:ascii="Times New Roman" w:hAnsi="Times New Roman" w:cs="Times New Roman"/>
          <w:sz w:val="24"/>
          <w:szCs w:val="24"/>
        </w:rPr>
        <w:t xml:space="preserve"> (t=1 </w:t>
      </w:r>
      <w:proofErr w:type="spellStart"/>
      <w:r w:rsidRPr="00593435">
        <w:rPr>
          <w:rFonts w:ascii="Times New Roman" w:hAnsi="Times New Roman" w:cs="Times New Roman"/>
          <w:sz w:val="24"/>
          <w:szCs w:val="24"/>
        </w:rPr>
        <w:t>cho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năm</w:t>
      </w:r>
      <w:proofErr w:type="spellEnd"/>
      <w:r w:rsidRPr="00593435">
        <w:rPr>
          <w:rFonts w:ascii="Times New Roman" w:hAnsi="Times New Roman" w:cs="Times New Roman"/>
          <w:sz w:val="24"/>
          <w:szCs w:val="24"/>
        </w:rPr>
        <w:t xml:space="preserve"> 2004, t=2 </w:t>
      </w:r>
      <w:proofErr w:type="spellStart"/>
      <w:r w:rsidRPr="00593435">
        <w:rPr>
          <w:rFonts w:ascii="Times New Roman" w:hAnsi="Times New Roman" w:cs="Times New Roman"/>
          <w:sz w:val="24"/>
          <w:szCs w:val="24"/>
        </w:rPr>
        <w:t>cho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năm</w:t>
      </w:r>
      <w:proofErr w:type="spellEnd"/>
      <w:r w:rsidRPr="00593435">
        <w:rPr>
          <w:rFonts w:ascii="Times New Roman" w:hAnsi="Times New Roman" w:cs="Times New Roman"/>
          <w:sz w:val="24"/>
          <w:szCs w:val="24"/>
        </w:rPr>
        <w:t xml:space="preserve"> 2005,…,t=15 </w:t>
      </w:r>
      <w:proofErr w:type="spellStart"/>
      <w:r w:rsidRPr="00593435">
        <w:rPr>
          <w:rFonts w:ascii="Times New Roman" w:hAnsi="Times New Roman" w:cs="Times New Roman"/>
          <w:sz w:val="24"/>
          <w:szCs w:val="24"/>
        </w:rPr>
        <w:t>cho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năm</w:t>
      </w:r>
      <w:proofErr w:type="spellEnd"/>
      <w:r w:rsidRPr="00593435">
        <w:rPr>
          <w:rFonts w:ascii="Times New Roman" w:hAnsi="Times New Roman" w:cs="Times New Roman"/>
          <w:sz w:val="24"/>
          <w:szCs w:val="24"/>
        </w:rPr>
        <w:t xml:space="preserve"> 2018). </w:t>
      </w:r>
      <w:proofErr w:type="spellStart"/>
      <w:r w:rsidRPr="00593435">
        <w:rPr>
          <w:rFonts w:ascii="Times New Roman" w:hAnsi="Times New Roman" w:cs="Times New Roman"/>
          <w:sz w:val="24"/>
          <w:szCs w:val="24"/>
        </w:rPr>
        <w:t>Dựa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trên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nghiên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cứu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quốc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của</w:t>
      </w:r>
      <w:proofErr w:type="spellEnd"/>
      <w:r w:rsidRPr="00593435">
        <w:rPr>
          <w:rFonts w:ascii="Times New Roman" w:hAnsi="Times New Roman" w:cs="Times New Roman"/>
          <w:sz w:val="24"/>
          <w:szCs w:val="24"/>
        </w:rPr>
        <w:t xml:space="preserve"> Lozano-</w:t>
      </w:r>
      <w:proofErr w:type="spellStart"/>
      <w:r w:rsidRPr="00593435">
        <w:rPr>
          <w:rFonts w:ascii="Times New Roman" w:hAnsi="Times New Roman" w:cs="Times New Roman"/>
          <w:sz w:val="24"/>
          <w:szCs w:val="24"/>
        </w:rPr>
        <w:t>Vivas</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Pasiouras</w:t>
      </w:r>
      <w:proofErr w:type="spellEnd"/>
      <w:r w:rsidRPr="00593435">
        <w:rPr>
          <w:rFonts w:ascii="Times New Roman" w:hAnsi="Times New Roman" w:cs="Times New Roman"/>
          <w:sz w:val="24"/>
          <w:szCs w:val="24"/>
        </w:rPr>
        <w:t xml:space="preserve"> (2010), </w:t>
      </w:r>
      <w:proofErr w:type="spellStart"/>
      <w:r w:rsidRPr="00593435">
        <w:rPr>
          <w:rFonts w:ascii="Times New Roman" w:hAnsi="Times New Roman" w:cs="Times New Roman"/>
          <w:sz w:val="24"/>
          <w:szCs w:val="24"/>
        </w:rPr>
        <w:t>tác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giả</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sử</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dụng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hai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biến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giả</w:t>
      </w:r>
      <w:proofErr w:type="spellEnd"/>
      <w:r w:rsidRPr="00593435">
        <w:rPr>
          <w:rFonts w:ascii="Times New Roman" w:hAnsi="Times New Roman" w:cs="Times New Roman"/>
          <w:sz w:val="24"/>
          <w:szCs w:val="24"/>
        </w:rPr>
        <w:t xml:space="preserve"> (MAD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AD) </w:t>
      </w:r>
      <w:proofErr w:type="spellStart"/>
      <w:r w:rsidRPr="00593435">
        <w:rPr>
          <w:rFonts w:ascii="Times New Roman" w:hAnsi="Times New Roman" w:cs="Times New Roman"/>
          <w:sz w:val="24"/>
          <w:szCs w:val="24"/>
        </w:rPr>
        <w:t>để</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kiểm</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soát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mức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độ</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phát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triển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kinh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tế</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khác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nhau</w:t>
      </w:r>
      <w:proofErr w:type="spellEnd"/>
      <w:r w:rsidRPr="00593435">
        <w:rPr>
          <w:rFonts w:ascii="Times New Roman" w:hAnsi="Times New Roman" w:cs="Times New Roman"/>
          <w:sz w:val="24"/>
          <w:szCs w:val="24"/>
        </w:rPr>
        <w:t xml:space="preserve">. </w:t>
      </w:r>
      <w:r w:rsidR="00973DEA" w:rsidRPr="00593435">
        <w:rPr>
          <w:rFonts w:ascii="Times New Roman" w:hAnsi="Times New Roman" w:cs="Times New Roman"/>
          <w:sz w:val="24"/>
          <w:szCs w:val="24"/>
        </w:rPr>
        <w:t xml:space="preserve">Hai </w:t>
      </w:r>
      <w:proofErr w:type="spellStart"/>
      <w:r w:rsidR="00973DEA" w:rsidRPr="00593435">
        <w:rPr>
          <w:rFonts w:ascii="Times New Roman" w:hAnsi="Times New Roman" w:cs="Times New Roman"/>
          <w:sz w:val="24"/>
          <w:szCs w:val="24"/>
        </w:rPr>
        <w:t>biến</w:t>
      </w:r>
      <w:proofErr w:type="spellEnd"/>
      <w:r w:rsidR="00973DEA" w:rsidRPr="00593435">
        <w:rPr>
          <w:rFonts w:ascii="Times New Roman" w:hAnsi="Times New Roman" w:cs="Times New Roman"/>
          <w:sz w:val="24"/>
          <w:szCs w:val="24"/>
        </w:rPr>
        <w:t xml:space="preserve"> </w:t>
      </w:r>
      <w:proofErr w:type="spellStart"/>
      <w:r w:rsidR="00973DEA" w:rsidRPr="00593435">
        <w:rPr>
          <w:rFonts w:ascii="Times New Roman" w:hAnsi="Times New Roman" w:cs="Times New Roman"/>
          <w:sz w:val="24"/>
          <w:szCs w:val="24"/>
        </w:rPr>
        <w:t>này</w:t>
      </w:r>
      <w:proofErr w:type="spellEnd"/>
      <w:r w:rsidR="00973DEA" w:rsidRPr="00593435">
        <w:rPr>
          <w:rFonts w:ascii="Times New Roman" w:hAnsi="Times New Roman" w:cs="Times New Roman"/>
          <w:sz w:val="24"/>
          <w:szCs w:val="24"/>
        </w:rPr>
        <w:t xml:space="preserve"> </w:t>
      </w:r>
      <w:proofErr w:type="spellStart"/>
      <w:r w:rsidR="00973DEA" w:rsidRPr="00593435">
        <w:rPr>
          <w:rFonts w:ascii="Times New Roman" w:hAnsi="Times New Roman" w:cs="Times New Roman"/>
          <w:sz w:val="24"/>
          <w:szCs w:val="24"/>
        </w:rPr>
        <w:t>được</w:t>
      </w:r>
      <w:proofErr w:type="spellEnd"/>
      <w:r w:rsidR="00973DEA" w:rsidRPr="00593435">
        <w:rPr>
          <w:rFonts w:ascii="Times New Roman" w:hAnsi="Times New Roman" w:cs="Times New Roman"/>
          <w:sz w:val="24"/>
          <w:szCs w:val="24"/>
        </w:rPr>
        <w:t xml:space="preserve"> </w:t>
      </w:r>
      <w:proofErr w:type="spellStart"/>
      <w:r w:rsidR="00973DEA" w:rsidRPr="00593435">
        <w:rPr>
          <w:rFonts w:ascii="Times New Roman" w:hAnsi="Times New Roman" w:cs="Times New Roman"/>
          <w:sz w:val="24"/>
          <w:szCs w:val="24"/>
        </w:rPr>
        <w:t>xây</w:t>
      </w:r>
      <w:proofErr w:type="spellEnd"/>
      <w:r w:rsidR="00973DEA" w:rsidRPr="00593435">
        <w:rPr>
          <w:rFonts w:ascii="Times New Roman" w:hAnsi="Times New Roman" w:cs="Times New Roman"/>
          <w:sz w:val="24"/>
          <w:szCs w:val="24"/>
        </w:rPr>
        <w:t xml:space="preserve"> </w:t>
      </w:r>
      <w:proofErr w:type="spellStart"/>
      <w:r w:rsidR="00973DEA" w:rsidRPr="00593435">
        <w:rPr>
          <w:rFonts w:ascii="Times New Roman" w:hAnsi="Times New Roman" w:cs="Times New Roman"/>
          <w:sz w:val="24"/>
          <w:szCs w:val="24"/>
        </w:rPr>
        <w:t>dựng</w:t>
      </w:r>
      <w:proofErr w:type="spellEnd"/>
      <w:r w:rsidR="00973DEA" w:rsidRPr="00593435">
        <w:rPr>
          <w:rFonts w:ascii="Times New Roman" w:hAnsi="Times New Roman" w:cs="Times New Roman"/>
          <w:sz w:val="24"/>
          <w:szCs w:val="24"/>
        </w:rPr>
        <w:t xml:space="preserve"> </w:t>
      </w:r>
      <w:proofErr w:type="spellStart"/>
      <w:r w:rsidR="00973DEA" w:rsidRPr="00593435">
        <w:rPr>
          <w:rFonts w:ascii="Times New Roman" w:hAnsi="Times New Roman" w:cs="Times New Roman"/>
          <w:sz w:val="24"/>
          <w:szCs w:val="24"/>
        </w:rPr>
        <w:t>dựa</w:t>
      </w:r>
      <w:proofErr w:type="spellEnd"/>
      <w:r w:rsidR="00973DEA" w:rsidRPr="00593435">
        <w:rPr>
          <w:rFonts w:ascii="Times New Roman" w:hAnsi="Times New Roman" w:cs="Times New Roman"/>
          <w:sz w:val="24"/>
          <w:szCs w:val="24"/>
        </w:rPr>
        <w:t xml:space="preserve"> </w:t>
      </w:r>
      <w:proofErr w:type="spellStart"/>
      <w:r w:rsidR="00973DEA" w:rsidRPr="00593435">
        <w:rPr>
          <w:rFonts w:ascii="Times New Roman" w:hAnsi="Times New Roman" w:cs="Times New Roman"/>
          <w:sz w:val="24"/>
          <w:szCs w:val="24"/>
        </w:rPr>
        <w:t>trên</w:t>
      </w:r>
      <w:proofErr w:type="spellEnd"/>
      <w:r w:rsidR="00973DEA" w:rsidRPr="00593435">
        <w:rPr>
          <w:rFonts w:ascii="Times New Roman" w:hAnsi="Times New Roman" w:cs="Times New Roman"/>
          <w:sz w:val="24"/>
          <w:szCs w:val="24"/>
        </w:rPr>
        <w:t xml:space="preserve"> </w:t>
      </w:r>
      <w:proofErr w:type="spellStart"/>
      <w:r w:rsidR="00973DEA" w:rsidRPr="00593435">
        <w:rPr>
          <w:rFonts w:ascii="Times New Roman" w:hAnsi="Times New Roman" w:cs="Times New Roman"/>
          <w:sz w:val="24"/>
          <w:szCs w:val="24"/>
        </w:rPr>
        <w:t>cách</w:t>
      </w:r>
      <w:proofErr w:type="spellEnd"/>
      <w:r w:rsidR="00973DEA" w:rsidRPr="00593435">
        <w:rPr>
          <w:rFonts w:ascii="Times New Roman" w:hAnsi="Times New Roman" w:cs="Times New Roman"/>
          <w:sz w:val="24"/>
          <w:szCs w:val="24"/>
        </w:rPr>
        <w:t xml:space="preserve"> </w:t>
      </w:r>
      <w:proofErr w:type="spellStart"/>
      <w:r w:rsidR="00973DEA" w:rsidRPr="00593435">
        <w:rPr>
          <w:rFonts w:ascii="Times New Roman" w:hAnsi="Times New Roman" w:cs="Times New Roman"/>
          <w:sz w:val="24"/>
          <w:szCs w:val="24"/>
        </w:rPr>
        <w:t>phân</w:t>
      </w:r>
      <w:proofErr w:type="spellEnd"/>
      <w:r w:rsidR="00973DEA" w:rsidRPr="00593435">
        <w:rPr>
          <w:rFonts w:ascii="Times New Roman" w:hAnsi="Times New Roman" w:cs="Times New Roman"/>
          <w:sz w:val="24"/>
          <w:szCs w:val="24"/>
        </w:rPr>
        <w:t xml:space="preserve"> </w:t>
      </w:r>
      <w:proofErr w:type="spellStart"/>
      <w:r w:rsidR="00973DEA" w:rsidRPr="00593435">
        <w:rPr>
          <w:rFonts w:ascii="Times New Roman" w:hAnsi="Times New Roman" w:cs="Times New Roman"/>
          <w:sz w:val="24"/>
          <w:szCs w:val="24"/>
        </w:rPr>
        <w:t>loại</w:t>
      </w:r>
      <w:proofErr w:type="spellEnd"/>
      <w:r w:rsidR="00973DEA" w:rsidRPr="00593435">
        <w:rPr>
          <w:rFonts w:ascii="Times New Roman" w:hAnsi="Times New Roman" w:cs="Times New Roman"/>
          <w:sz w:val="24"/>
          <w:szCs w:val="24"/>
        </w:rPr>
        <w:t xml:space="preserve"> </w:t>
      </w:r>
      <w:proofErr w:type="spellStart"/>
      <w:r w:rsidR="00973DEA" w:rsidRPr="00593435">
        <w:rPr>
          <w:rFonts w:ascii="Times New Roman" w:hAnsi="Times New Roman" w:cs="Times New Roman"/>
          <w:sz w:val="24"/>
          <w:szCs w:val="24"/>
        </w:rPr>
        <w:t>các</w:t>
      </w:r>
      <w:proofErr w:type="spellEnd"/>
      <w:r w:rsidR="00973DEA" w:rsidRPr="00593435">
        <w:rPr>
          <w:rFonts w:ascii="Times New Roman" w:hAnsi="Times New Roman" w:cs="Times New Roman"/>
          <w:sz w:val="24"/>
          <w:szCs w:val="24"/>
        </w:rPr>
        <w:t xml:space="preserve"> </w:t>
      </w:r>
      <w:proofErr w:type="spellStart"/>
      <w:r w:rsidR="00973DEA" w:rsidRPr="00593435">
        <w:rPr>
          <w:rFonts w:ascii="Times New Roman" w:hAnsi="Times New Roman" w:cs="Times New Roman"/>
          <w:sz w:val="24"/>
          <w:szCs w:val="24"/>
        </w:rPr>
        <w:t>nền</w:t>
      </w:r>
      <w:proofErr w:type="spellEnd"/>
      <w:r w:rsidR="00973DEA" w:rsidRPr="00593435">
        <w:rPr>
          <w:rFonts w:ascii="Times New Roman" w:hAnsi="Times New Roman" w:cs="Times New Roman"/>
          <w:sz w:val="24"/>
          <w:szCs w:val="24"/>
        </w:rPr>
        <w:t xml:space="preserve"> </w:t>
      </w:r>
      <w:proofErr w:type="spellStart"/>
      <w:r w:rsidR="00973DEA" w:rsidRPr="00593435">
        <w:rPr>
          <w:rFonts w:ascii="Times New Roman" w:hAnsi="Times New Roman" w:cs="Times New Roman"/>
          <w:sz w:val="24"/>
          <w:szCs w:val="24"/>
        </w:rPr>
        <w:t>kinh</w:t>
      </w:r>
      <w:proofErr w:type="spellEnd"/>
      <w:r w:rsidR="00973DEA" w:rsidRPr="00593435">
        <w:rPr>
          <w:rFonts w:ascii="Times New Roman" w:hAnsi="Times New Roman" w:cs="Times New Roman"/>
          <w:sz w:val="24"/>
          <w:szCs w:val="24"/>
        </w:rPr>
        <w:t xml:space="preserve"> </w:t>
      </w:r>
      <w:proofErr w:type="spellStart"/>
      <w:r w:rsidR="00973DEA" w:rsidRPr="00593435">
        <w:rPr>
          <w:rFonts w:ascii="Times New Roman" w:hAnsi="Times New Roman" w:cs="Times New Roman"/>
          <w:sz w:val="24"/>
          <w:szCs w:val="24"/>
        </w:rPr>
        <w:t>tế</w:t>
      </w:r>
      <w:proofErr w:type="spellEnd"/>
      <w:r w:rsidR="00973DEA" w:rsidRPr="00593435">
        <w:rPr>
          <w:rFonts w:ascii="Times New Roman" w:hAnsi="Times New Roman" w:cs="Times New Roman"/>
          <w:sz w:val="24"/>
          <w:szCs w:val="24"/>
        </w:rPr>
        <w:t xml:space="preserve"> </w:t>
      </w:r>
      <w:proofErr w:type="spellStart"/>
      <w:r w:rsidR="00973DEA" w:rsidRPr="00593435">
        <w:rPr>
          <w:rFonts w:ascii="Times New Roman" w:hAnsi="Times New Roman" w:cs="Times New Roman"/>
          <w:sz w:val="24"/>
          <w:szCs w:val="24"/>
        </w:rPr>
        <w:t>của</w:t>
      </w:r>
      <w:proofErr w:type="spellEnd"/>
      <w:r w:rsidR="00973DEA" w:rsidRPr="00593435">
        <w:rPr>
          <w:rFonts w:ascii="Times New Roman" w:hAnsi="Times New Roman" w:cs="Times New Roman"/>
          <w:sz w:val="24"/>
          <w:szCs w:val="24"/>
        </w:rPr>
        <w:t xml:space="preserve"> </w:t>
      </w:r>
      <w:r w:rsidRPr="00593435">
        <w:rPr>
          <w:rFonts w:ascii="Times New Roman" w:hAnsi="Times New Roman" w:cs="Times New Roman"/>
          <w:sz w:val="24"/>
          <w:szCs w:val="24"/>
        </w:rPr>
        <w:t>IMF</w:t>
      </w:r>
      <w:r w:rsidR="00973DEA" w:rsidRPr="00593435">
        <w:rPr>
          <w:rFonts w:ascii="Times New Roman" w:hAnsi="Times New Roman" w:cs="Times New Roman"/>
          <w:sz w:val="24"/>
          <w:szCs w:val="24"/>
        </w:rPr>
        <w:t xml:space="preserve">, </w:t>
      </w:r>
      <w:proofErr w:type="spellStart"/>
      <w:r w:rsidR="00973DEA" w:rsidRPr="00593435">
        <w:rPr>
          <w:rFonts w:ascii="Times New Roman" w:hAnsi="Times New Roman" w:cs="Times New Roman"/>
          <w:sz w:val="24"/>
          <w:szCs w:val="24"/>
        </w:rPr>
        <w:t>cụ</w:t>
      </w:r>
      <w:proofErr w:type="spellEnd"/>
      <w:r w:rsidR="00973DEA" w:rsidRPr="00593435">
        <w:rPr>
          <w:rFonts w:ascii="Times New Roman" w:hAnsi="Times New Roman" w:cs="Times New Roman"/>
          <w:sz w:val="24"/>
          <w:szCs w:val="24"/>
        </w:rPr>
        <w:t xml:space="preserve"> </w:t>
      </w:r>
      <w:proofErr w:type="spellStart"/>
      <w:r w:rsidR="00973DEA" w:rsidRPr="00593435">
        <w:rPr>
          <w:rFonts w:ascii="Times New Roman" w:hAnsi="Times New Roman" w:cs="Times New Roman"/>
          <w:sz w:val="24"/>
          <w:szCs w:val="24"/>
        </w:rPr>
        <w:t>thể</w:t>
      </w:r>
      <w:proofErr w:type="spellEnd"/>
      <w:r w:rsidR="00973DEA" w:rsidRPr="00593435">
        <w:rPr>
          <w:rFonts w:ascii="Times New Roman" w:hAnsi="Times New Roman" w:cs="Times New Roman"/>
          <w:sz w:val="24"/>
          <w:szCs w:val="24"/>
        </w:rPr>
        <w:t xml:space="preserve">: </w:t>
      </w:r>
      <w:r w:rsidRPr="00593435">
        <w:rPr>
          <w:rFonts w:ascii="Times New Roman" w:hAnsi="Times New Roman" w:cs="Times New Roman"/>
          <w:sz w:val="24"/>
          <w:szCs w:val="24"/>
        </w:rPr>
        <w:t xml:space="preserve">MAD </w:t>
      </w:r>
      <w:proofErr w:type="spellStart"/>
      <w:r w:rsidRPr="00593435">
        <w:rPr>
          <w:rFonts w:ascii="Times New Roman" w:hAnsi="Times New Roman" w:cs="Times New Roman"/>
          <w:sz w:val="24"/>
          <w:szCs w:val="24"/>
        </w:rPr>
        <w:t>nhận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giá</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trị</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bằng</w:t>
      </w:r>
      <w:proofErr w:type="spellEnd"/>
      <w:r w:rsidRPr="00593435">
        <w:rPr>
          <w:rFonts w:ascii="Times New Roman" w:hAnsi="Times New Roman" w:cs="Times New Roman"/>
          <w:sz w:val="24"/>
          <w:szCs w:val="24"/>
        </w:rPr>
        <w:t xml:space="preserve"> 1 </w:t>
      </w:r>
      <w:proofErr w:type="spellStart"/>
      <w:r w:rsidRPr="00593435">
        <w:rPr>
          <w:rFonts w:ascii="Times New Roman" w:hAnsi="Times New Roman" w:cs="Times New Roman"/>
          <w:sz w:val="24"/>
          <w:szCs w:val="24"/>
        </w:rPr>
        <w:t>nếu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quốc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thuộc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nhóm</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nền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kinh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tế</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tiên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tiến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lớn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nếu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không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thì</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bằng</w:t>
      </w:r>
      <w:proofErr w:type="spellEnd"/>
      <w:r w:rsidRPr="00593435">
        <w:rPr>
          <w:rFonts w:ascii="Times New Roman" w:hAnsi="Times New Roman" w:cs="Times New Roman"/>
          <w:sz w:val="24"/>
          <w:szCs w:val="24"/>
        </w:rPr>
        <w:t xml:space="preserve"> 0; AD </w:t>
      </w:r>
      <w:proofErr w:type="spellStart"/>
      <w:r w:rsidRPr="00593435">
        <w:rPr>
          <w:rFonts w:ascii="Times New Roman" w:hAnsi="Times New Roman" w:cs="Times New Roman"/>
          <w:sz w:val="24"/>
          <w:szCs w:val="24"/>
        </w:rPr>
        <w:t>nhận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giá</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trị</w:t>
      </w:r>
      <w:proofErr w:type="spellEnd"/>
      <w:r w:rsidRPr="00593435">
        <w:rPr>
          <w:rFonts w:ascii="Times New Roman" w:hAnsi="Times New Roman" w:cs="Times New Roman"/>
          <w:sz w:val="24"/>
          <w:szCs w:val="24"/>
        </w:rPr>
        <w:t xml:space="preserve"> 1 </w:t>
      </w:r>
      <w:proofErr w:type="spellStart"/>
      <w:r w:rsidRPr="00593435">
        <w:rPr>
          <w:rFonts w:ascii="Times New Roman" w:hAnsi="Times New Roman" w:cs="Times New Roman"/>
          <w:sz w:val="24"/>
          <w:szCs w:val="24"/>
        </w:rPr>
        <w:t>nếu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quốc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thuộc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nhóm</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nền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kinh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tế</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tiên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tiến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nếu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không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thì</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bằng</w:t>
      </w:r>
      <w:proofErr w:type="spellEnd"/>
      <w:r w:rsidRPr="00593435">
        <w:rPr>
          <w:rFonts w:ascii="Times New Roman" w:hAnsi="Times New Roman" w:cs="Times New Roman"/>
          <w:sz w:val="24"/>
          <w:szCs w:val="24"/>
        </w:rPr>
        <w:t xml:space="preserve"> 0. </w:t>
      </w:r>
      <w:proofErr w:type="spellStart"/>
      <w:r w:rsidRPr="00593435">
        <w:rPr>
          <w:rFonts w:ascii="Times New Roman" w:hAnsi="Times New Roman" w:cs="Times New Roman"/>
          <w:sz w:val="24"/>
          <w:szCs w:val="24"/>
        </w:rPr>
        <w:t>Nhóm</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nước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mới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nổi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đang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phát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triển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nhóm</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cơ</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sở</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có</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giá</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trị</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bằng</w:t>
      </w:r>
      <w:proofErr w:type="spellEnd"/>
      <w:r w:rsidRPr="00593435">
        <w:rPr>
          <w:rFonts w:ascii="Times New Roman" w:hAnsi="Times New Roman" w:cs="Times New Roman"/>
          <w:sz w:val="24"/>
          <w:szCs w:val="24"/>
        </w:rPr>
        <w:t xml:space="preserve"> 0 ở </w:t>
      </w:r>
      <w:proofErr w:type="spellStart"/>
      <w:r w:rsidRPr="00593435">
        <w:rPr>
          <w:rFonts w:ascii="Times New Roman" w:hAnsi="Times New Roman" w:cs="Times New Roman"/>
          <w:sz w:val="24"/>
          <w:szCs w:val="24"/>
        </w:rPr>
        <w:t>cả</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hai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biến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giả</w:t>
      </w:r>
      <w:proofErr w:type="spellEnd"/>
      <w:r w:rsidRPr="00593435">
        <w:rPr>
          <w:rFonts w:ascii="Times New Roman" w:hAnsi="Times New Roman" w:cs="Times New Roman"/>
          <w:sz w:val="24"/>
          <w:szCs w:val="24"/>
        </w:rPr>
        <w:t>.</w:t>
      </w:r>
    </w:p>
    <w:p w14:paraId="4A908CEB" w14:textId="20E215CF" w:rsidR="00973DEA" w:rsidRPr="00593435" w:rsidRDefault="00973DEA" w:rsidP="008218C1">
      <w:pPr>
        <w:spacing w:before="120" w:after="0" w:line="312" w:lineRule="auto"/>
        <w:ind w:firstLine="720"/>
        <w:jc w:val="both"/>
        <w:rPr>
          <w:rFonts w:ascii="Times New Roman" w:hAnsi="Times New Roman" w:cs="Times New Roman"/>
          <w:sz w:val="24"/>
          <w:szCs w:val="24"/>
        </w:rPr>
      </w:pPr>
      <w:proofErr w:type="spellStart"/>
      <w:r w:rsidRPr="00593435">
        <w:rPr>
          <w:rFonts w:ascii="Times New Roman" w:hAnsi="Times New Roman" w:cs="Times New Roman"/>
          <w:sz w:val="24"/>
          <w:szCs w:val="24"/>
        </w:rPr>
        <w:t>Đối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với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hàm</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hiệu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quả</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lợi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nhuận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lợi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nhuận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mang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giá</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trị</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âm</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không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thể</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xác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định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được</w:t>
      </w:r>
      <w:proofErr w:type="spellEnd"/>
      <w:r w:rsidR="00DA3F40">
        <w:rPr>
          <w:rFonts w:ascii="Times New Roman" w:hAnsi="Times New Roman" w:cs="Times New Roman"/>
          <w:sz w:val="24"/>
          <w:szCs w:val="24"/>
        </w:rPr>
        <w:t xml:space="preserve"> </w:t>
      </w:r>
      <w:proofErr w:type="spellStart"/>
      <w:r w:rsidR="00DA3F40">
        <w:rPr>
          <w:rFonts w:ascii="Times New Roman" w:hAnsi="Times New Roman" w:cs="Times New Roman"/>
          <w:sz w:val="24"/>
          <w:szCs w:val="24"/>
        </w:rPr>
        <w:t>giá</w:t>
      </w:r>
      <w:proofErr w:type="spellEnd"/>
      <w:r w:rsidR="00DA3F40">
        <w:rPr>
          <w:rFonts w:ascii="Times New Roman" w:hAnsi="Times New Roman" w:cs="Times New Roman"/>
          <w:sz w:val="24"/>
          <w:szCs w:val="24"/>
        </w:rPr>
        <w:t xml:space="preserve"> </w:t>
      </w:r>
      <w:proofErr w:type="spellStart"/>
      <w:r w:rsidR="00DA3F40">
        <w:rPr>
          <w:rFonts w:ascii="Times New Roman" w:hAnsi="Times New Roman" w:cs="Times New Roman"/>
          <w:sz w:val="24"/>
          <w:szCs w:val="24"/>
        </w:rPr>
        <w:t>trị</w:t>
      </w:r>
      <w:proofErr w:type="spellEnd"/>
      <w:r w:rsidR="00DA3F40">
        <w:rPr>
          <w:rFonts w:ascii="Times New Roman" w:hAnsi="Times New Roman" w:cs="Times New Roman"/>
          <w:sz w:val="24"/>
          <w:szCs w:val="24"/>
        </w:rPr>
        <w:t xml:space="preserve"> </w:t>
      </w:r>
      <w:proofErr w:type="spellStart"/>
      <w:r w:rsidR="00DA3F40">
        <w:rPr>
          <w:rFonts w:ascii="Times New Roman" w:hAnsi="Times New Roman" w:cs="Times New Roman"/>
          <w:sz w:val="24"/>
          <w:szCs w:val="24"/>
        </w:rPr>
        <w:t>logarit</w:t>
      </w:r>
      <w:proofErr w:type="spellEnd"/>
      <w:r w:rsidRPr="00593435">
        <w:rPr>
          <w:rFonts w:ascii="Times New Roman" w:hAnsi="Times New Roman" w:cs="Times New Roman"/>
          <w:sz w:val="24"/>
          <w:szCs w:val="24"/>
        </w:rPr>
        <w:t xml:space="preserve">. Do </w:t>
      </w:r>
      <w:proofErr w:type="spellStart"/>
      <w:r w:rsidRPr="00593435">
        <w:rPr>
          <w:rFonts w:ascii="Times New Roman" w:hAnsi="Times New Roman" w:cs="Times New Roman"/>
          <w:sz w:val="24"/>
          <w:szCs w:val="24"/>
        </w:rPr>
        <w:t>đó</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giả</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sử</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dụng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phương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pháp</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được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đề</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cập</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trong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nghiên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cứu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của</w:t>
      </w:r>
      <w:proofErr w:type="spellEnd"/>
      <w:r w:rsidRPr="00593435">
        <w:rPr>
          <w:rFonts w:ascii="Times New Roman" w:hAnsi="Times New Roman" w:cs="Times New Roman"/>
          <w:sz w:val="24"/>
          <w:szCs w:val="24"/>
        </w:rPr>
        <w:t xml:space="preserve"> </w:t>
      </w:r>
      <w:r w:rsidRPr="00593435">
        <w:rPr>
          <w:rFonts w:ascii="Times New Roman" w:hAnsi="Times New Roman" w:cs="Times New Roman"/>
          <w:sz w:val="24"/>
          <w:szCs w:val="24"/>
        </w:rPr>
        <w:fldChar w:fldCharType="begin"/>
      </w:r>
      <w:r w:rsidRPr="00593435">
        <w:rPr>
          <w:rFonts w:ascii="Times New Roman" w:hAnsi="Times New Roman" w:cs="Times New Roman"/>
          <w:sz w:val="24"/>
          <w:szCs w:val="24"/>
        </w:rPr>
        <w:instrText xml:space="preserve"> ADDIN EN.CITE &lt;EndNote&gt;&lt;Cite AuthorYear="1"&gt;&lt;Author&gt;Bos&lt;/Author&gt;&lt;Year&gt;2011&lt;/Year&gt;&lt;RecNum&gt;269&lt;/RecNum&gt;&lt;DisplayText&gt;Bos and Koetter (2011)&lt;/DisplayText&gt;&lt;record&gt;&lt;rec-number&gt;269&lt;/rec-number&gt;&lt;foreign-keys&gt;&lt;key app="EN" db-id="xavvdvvsixd0woe9vsop9e2u2vp2wws0ppfp" timestamp="1594605468"&gt;269&lt;/key&gt;&lt;/foreign-keys&gt;&lt;ref-type name="Journal Article"&gt;17&lt;/ref-type&gt;&lt;contributors&gt;&lt;authors&gt;&lt;author&gt;Bos, Jaap WB&lt;/author&gt;&lt;author&gt;Koetter, Michael&lt;/author&gt;&lt;/authors&gt;&lt;/contributors&gt;&lt;titles&gt;&lt;title&gt;Handling losses in translog profit models&lt;/title&gt;&lt;secondary-title&gt;Applied Economics&lt;/secondary-title&gt;&lt;/titles&gt;&lt;periodical&gt;&lt;full-title&gt;Applied Economics&lt;/full-title&gt;&lt;/periodical&gt;&lt;pages&gt;307-312&lt;/pages&gt;&lt;volume&gt;43&lt;/volume&gt;&lt;number&gt;3&lt;/number&gt;&lt;dates&gt;&lt;year&gt;2011&lt;/year&gt;&lt;/dates&gt;&lt;isbn&gt;0003-6846&lt;/isbn&gt;&lt;urls&gt;&lt;/urls&gt;&lt;/record&gt;&lt;/Cite&gt;&lt;/EndNote&gt;</w:instrText>
      </w:r>
      <w:r w:rsidRPr="00593435">
        <w:rPr>
          <w:rFonts w:ascii="Times New Roman" w:hAnsi="Times New Roman" w:cs="Times New Roman"/>
          <w:sz w:val="24"/>
          <w:szCs w:val="24"/>
        </w:rPr>
        <w:fldChar w:fldCharType="separate"/>
      </w:r>
      <w:r w:rsidRPr="00593435">
        <w:rPr>
          <w:rFonts w:ascii="Times New Roman" w:hAnsi="Times New Roman" w:cs="Times New Roman"/>
          <w:noProof/>
          <w:sz w:val="24"/>
          <w:szCs w:val="24"/>
        </w:rPr>
        <w:t>Bos và Koetter (2011)</w:t>
      </w:r>
      <w:r w:rsidRPr="00593435">
        <w:rPr>
          <w:rFonts w:ascii="Times New Roman" w:hAnsi="Times New Roman" w:cs="Times New Roman"/>
          <w:sz w:val="24"/>
          <w:szCs w:val="24"/>
        </w:rPr>
        <w:fldChar w:fldCharType="end"/>
      </w:r>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tạo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thêm</w:t>
      </w:r>
      <w:proofErr w:type="spellEnd"/>
      <w:r w:rsidRPr="00593435">
        <w:rPr>
          <w:rFonts w:ascii="Times New Roman" w:hAnsi="Times New Roman" w:cs="Times New Roman"/>
          <w:sz w:val="24"/>
          <w:szCs w:val="24"/>
        </w:rPr>
        <w:t xml:space="preserve"> 1 </w:t>
      </w:r>
      <w:proofErr w:type="spellStart"/>
      <w:r w:rsidRPr="00593435">
        <w:rPr>
          <w:rFonts w:ascii="Times New Roman" w:hAnsi="Times New Roman" w:cs="Times New Roman"/>
          <w:sz w:val="24"/>
          <w:szCs w:val="24"/>
        </w:rPr>
        <w:t>biến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độc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lập</w:t>
      </w:r>
      <w:proofErr w:type="spellEnd"/>
      <w:r w:rsidRPr="00593435">
        <w:rPr>
          <w:rFonts w:ascii="Times New Roman" w:hAnsi="Times New Roman" w:cs="Times New Roman"/>
          <w:sz w:val="24"/>
          <w:szCs w:val="24"/>
        </w:rPr>
        <w:t xml:space="preserve"> NPI</w:t>
      </w:r>
      <w:r w:rsidR="002A35C2" w:rsidRPr="00593435">
        <w:rPr>
          <w:rFonts w:ascii="Times New Roman" w:hAnsi="Times New Roman" w:cs="Times New Roman"/>
          <w:sz w:val="24"/>
          <w:szCs w:val="24"/>
        </w:rPr>
        <w:t xml:space="preserve"> </w:t>
      </w:r>
      <w:proofErr w:type="spellStart"/>
      <w:r w:rsidR="002A35C2" w:rsidRPr="00593435">
        <w:rPr>
          <w:rFonts w:ascii="Times New Roman" w:hAnsi="Times New Roman" w:cs="Times New Roman"/>
          <w:sz w:val="24"/>
          <w:szCs w:val="24"/>
        </w:rPr>
        <w:t>trong</w:t>
      </w:r>
      <w:proofErr w:type="spellEnd"/>
      <w:r w:rsidR="002A35C2" w:rsidRPr="00593435">
        <w:rPr>
          <w:rFonts w:ascii="Times New Roman" w:hAnsi="Times New Roman" w:cs="Times New Roman"/>
          <w:sz w:val="24"/>
          <w:szCs w:val="24"/>
        </w:rPr>
        <w:t xml:space="preserve"> </w:t>
      </w:r>
      <w:proofErr w:type="spellStart"/>
      <w:r w:rsidR="002A35C2" w:rsidRPr="00593435">
        <w:rPr>
          <w:rFonts w:ascii="Times New Roman" w:hAnsi="Times New Roman" w:cs="Times New Roman"/>
          <w:sz w:val="24"/>
          <w:szCs w:val="24"/>
        </w:rPr>
        <w:t>công</w:t>
      </w:r>
      <w:proofErr w:type="spellEnd"/>
      <w:r w:rsidR="002A35C2" w:rsidRPr="00593435">
        <w:rPr>
          <w:rFonts w:ascii="Times New Roman" w:hAnsi="Times New Roman" w:cs="Times New Roman"/>
          <w:sz w:val="24"/>
          <w:szCs w:val="24"/>
        </w:rPr>
        <w:t xml:space="preserve"> </w:t>
      </w:r>
      <w:proofErr w:type="spellStart"/>
      <w:r w:rsidR="002A35C2" w:rsidRPr="00593435">
        <w:rPr>
          <w:rFonts w:ascii="Times New Roman" w:hAnsi="Times New Roman" w:cs="Times New Roman"/>
          <w:sz w:val="24"/>
          <w:szCs w:val="24"/>
        </w:rPr>
        <w:t>thức</w:t>
      </w:r>
      <w:proofErr w:type="spellEnd"/>
      <w:r w:rsidR="002A35C2" w:rsidRPr="00593435">
        <w:rPr>
          <w:rFonts w:ascii="Times New Roman" w:hAnsi="Times New Roman" w:cs="Times New Roman"/>
          <w:sz w:val="24"/>
          <w:szCs w:val="24"/>
        </w:rPr>
        <w:t xml:space="preserve"> (1)</w:t>
      </w:r>
      <w:r w:rsidRPr="00593435">
        <w:rPr>
          <w:rFonts w:ascii="Times New Roman" w:hAnsi="Times New Roman" w:cs="Times New Roman"/>
          <w:sz w:val="24"/>
          <w:szCs w:val="24"/>
        </w:rPr>
        <w:t xml:space="preserve">. </w:t>
      </w:r>
      <w:r w:rsidR="00E376F5" w:rsidRPr="00593435">
        <w:rPr>
          <w:rFonts w:ascii="Times New Roman" w:hAnsi="Times New Roman" w:cs="Times New Roman"/>
          <w:sz w:val="24"/>
          <w:szCs w:val="24"/>
        </w:rPr>
        <w:t xml:space="preserve">NPI </w:t>
      </w:r>
      <w:proofErr w:type="spellStart"/>
      <w:r w:rsidR="00E376F5" w:rsidRPr="00593435">
        <w:rPr>
          <w:rFonts w:ascii="Times New Roman" w:hAnsi="Times New Roman" w:cs="Times New Roman"/>
          <w:sz w:val="24"/>
          <w:szCs w:val="24"/>
        </w:rPr>
        <w:t>có</w:t>
      </w:r>
      <w:proofErr w:type="spellEnd"/>
      <w:r w:rsidR="00E376F5" w:rsidRPr="00593435">
        <w:rPr>
          <w:rFonts w:ascii="Times New Roman" w:hAnsi="Times New Roman" w:cs="Times New Roman"/>
          <w:sz w:val="24"/>
          <w:szCs w:val="24"/>
        </w:rPr>
        <w:t xml:space="preserve"> </w:t>
      </w:r>
      <w:proofErr w:type="spellStart"/>
      <w:r w:rsidR="00E376F5" w:rsidRPr="00593435">
        <w:rPr>
          <w:rFonts w:ascii="Times New Roman" w:hAnsi="Times New Roman" w:cs="Times New Roman"/>
          <w:sz w:val="24"/>
          <w:szCs w:val="24"/>
        </w:rPr>
        <w:t>giá</w:t>
      </w:r>
      <w:proofErr w:type="spellEnd"/>
      <w:r w:rsidR="00E376F5" w:rsidRPr="00593435">
        <w:rPr>
          <w:rFonts w:ascii="Times New Roman" w:hAnsi="Times New Roman" w:cs="Times New Roman"/>
          <w:sz w:val="24"/>
          <w:szCs w:val="24"/>
        </w:rPr>
        <w:t xml:space="preserve"> </w:t>
      </w:r>
      <w:proofErr w:type="spellStart"/>
      <w:r w:rsidR="00E376F5" w:rsidRPr="00593435">
        <w:rPr>
          <w:rFonts w:ascii="Times New Roman" w:hAnsi="Times New Roman" w:cs="Times New Roman"/>
          <w:sz w:val="24"/>
          <w:szCs w:val="24"/>
        </w:rPr>
        <w:t>trị</w:t>
      </w:r>
      <w:proofErr w:type="spellEnd"/>
      <w:r w:rsidR="00E376F5" w:rsidRPr="00593435">
        <w:rPr>
          <w:rFonts w:ascii="Times New Roman" w:hAnsi="Times New Roman" w:cs="Times New Roman"/>
          <w:sz w:val="24"/>
          <w:szCs w:val="24"/>
        </w:rPr>
        <w:t xml:space="preserve"> </w:t>
      </w:r>
      <w:proofErr w:type="spellStart"/>
      <w:r w:rsidR="00E376F5" w:rsidRPr="00593435">
        <w:rPr>
          <w:rFonts w:ascii="Times New Roman" w:hAnsi="Times New Roman" w:cs="Times New Roman"/>
          <w:sz w:val="24"/>
          <w:szCs w:val="24"/>
        </w:rPr>
        <w:t>bằng</w:t>
      </w:r>
      <w:proofErr w:type="spellEnd"/>
      <w:r w:rsidR="00E376F5" w:rsidRPr="00593435">
        <w:rPr>
          <w:rFonts w:ascii="Times New Roman" w:hAnsi="Times New Roman" w:cs="Times New Roman"/>
          <w:sz w:val="24"/>
          <w:szCs w:val="24"/>
        </w:rPr>
        <w:t xml:space="preserve"> 1 </w:t>
      </w:r>
      <w:proofErr w:type="spellStart"/>
      <w:r w:rsidR="00E376F5" w:rsidRPr="00593435">
        <w:rPr>
          <w:rFonts w:ascii="Times New Roman" w:hAnsi="Times New Roman" w:cs="Times New Roman"/>
          <w:sz w:val="24"/>
          <w:szCs w:val="24"/>
        </w:rPr>
        <w:t>nếu</w:t>
      </w:r>
      <w:proofErr w:type="spellEnd"/>
      <w:r w:rsidR="00E376F5" w:rsidRPr="00593435">
        <w:rPr>
          <w:rFonts w:ascii="Times New Roman" w:hAnsi="Times New Roman" w:cs="Times New Roman"/>
          <w:sz w:val="24"/>
          <w:szCs w:val="24"/>
        </w:rPr>
        <w:t xml:space="preserve"> </w:t>
      </w:r>
      <w:proofErr w:type="spellStart"/>
      <w:r w:rsidR="00E376F5" w:rsidRPr="00593435">
        <w:rPr>
          <w:rFonts w:ascii="Times New Roman" w:hAnsi="Times New Roman" w:cs="Times New Roman"/>
          <w:sz w:val="24"/>
          <w:szCs w:val="24"/>
        </w:rPr>
        <w:t>lợi</w:t>
      </w:r>
      <w:proofErr w:type="spellEnd"/>
      <w:r w:rsidR="00E376F5" w:rsidRPr="00593435">
        <w:rPr>
          <w:rFonts w:ascii="Times New Roman" w:hAnsi="Times New Roman" w:cs="Times New Roman"/>
          <w:sz w:val="24"/>
          <w:szCs w:val="24"/>
        </w:rPr>
        <w:t xml:space="preserve"> </w:t>
      </w:r>
      <w:proofErr w:type="spellStart"/>
      <w:r w:rsidR="00E376F5" w:rsidRPr="00593435">
        <w:rPr>
          <w:rFonts w:ascii="Times New Roman" w:hAnsi="Times New Roman" w:cs="Times New Roman"/>
          <w:sz w:val="24"/>
          <w:szCs w:val="24"/>
        </w:rPr>
        <w:t>nhuận</w:t>
      </w:r>
      <w:proofErr w:type="spellEnd"/>
      <w:r w:rsidR="00E376F5" w:rsidRPr="00593435">
        <w:rPr>
          <w:rFonts w:ascii="Times New Roman" w:hAnsi="Times New Roman" w:cs="Times New Roman"/>
          <w:sz w:val="24"/>
          <w:szCs w:val="24"/>
        </w:rPr>
        <w:t xml:space="preserve"> </w:t>
      </w:r>
      <w:r w:rsidR="00E376F5" w:rsidRPr="00593435">
        <w:rPr>
          <w:rFonts w:ascii="Times New Roman" w:hAnsi="Times New Roman" w:cs="Times New Roman"/>
          <w:sz w:val="24"/>
          <w:szCs w:val="24"/>
        </w:rPr>
        <w:lastRenderedPageBreak/>
        <w:t xml:space="preserve">(PBT) </w:t>
      </w:r>
      <w:proofErr w:type="spellStart"/>
      <w:r w:rsidR="00E376F5" w:rsidRPr="00593435">
        <w:rPr>
          <w:rFonts w:ascii="Times New Roman" w:hAnsi="Times New Roman" w:cs="Times New Roman"/>
          <w:sz w:val="24"/>
          <w:szCs w:val="24"/>
        </w:rPr>
        <w:t>mang</w:t>
      </w:r>
      <w:proofErr w:type="spellEnd"/>
      <w:r w:rsidR="00E376F5" w:rsidRPr="00593435">
        <w:rPr>
          <w:rFonts w:ascii="Times New Roman" w:hAnsi="Times New Roman" w:cs="Times New Roman"/>
          <w:sz w:val="24"/>
          <w:szCs w:val="24"/>
        </w:rPr>
        <w:t xml:space="preserve"> </w:t>
      </w:r>
      <w:proofErr w:type="spellStart"/>
      <w:r w:rsidR="00E376F5" w:rsidRPr="00593435">
        <w:rPr>
          <w:rFonts w:ascii="Times New Roman" w:hAnsi="Times New Roman" w:cs="Times New Roman"/>
          <w:sz w:val="24"/>
          <w:szCs w:val="24"/>
        </w:rPr>
        <w:t>giá</w:t>
      </w:r>
      <w:proofErr w:type="spellEnd"/>
      <w:r w:rsidR="00E376F5" w:rsidRPr="00593435">
        <w:rPr>
          <w:rFonts w:ascii="Times New Roman" w:hAnsi="Times New Roman" w:cs="Times New Roman"/>
          <w:sz w:val="24"/>
          <w:szCs w:val="24"/>
        </w:rPr>
        <w:t xml:space="preserve"> </w:t>
      </w:r>
      <w:proofErr w:type="spellStart"/>
      <w:r w:rsidR="00E376F5" w:rsidRPr="00593435">
        <w:rPr>
          <w:rFonts w:ascii="Times New Roman" w:hAnsi="Times New Roman" w:cs="Times New Roman"/>
          <w:sz w:val="24"/>
          <w:szCs w:val="24"/>
        </w:rPr>
        <w:t>trị</w:t>
      </w:r>
      <w:proofErr w:type="spellEnd"/>
      <w:r w:rsidR="00E376F5" w:rsidRPr="00593435">
        <w:rPr>
          <w:rFonts w:ascii="Times New Roman" w:hAnsi="Times New Roman" w:cs="Times New Roman"/>
          <w:sz w:val="24"/>
          <w:szCs w:val="24"/>
        </w:rPr>
        <w:t xml:space="preserve"> </w:t>
      </w:r>
      <w:proofErr w:type="spellStart"/>
      <w:r w:rsidR="00E376F5" w:rsidRPr="00593435">
        <w:rPr>
          <w:rFonts w:ascii="Times New Roman" w:hAnsi="Times New Roman" w:cs="Times New Roman"/>
          <w:sz w:val="24"/>
          <w:szCs w:val="24"/>
        </w:rPr>
        <w:t>dương</w:t>
      </w:r>
      <w:proofErr w:type="spellEnd"/>
      <w:r w:rsidR="00E376F5" w:rsidRPr="00593435">
        <w:rPr>
          <w:rFonts w:ascii="Times New Roman" w:hAnsi="Times New Roman" w:cs="Times New Roman"/>
          <w:sz w:val="24"/>
          <w:szCs w:val="24"/>
        </w:rPr>
        <w:t xml:space="preserve">, </w:t>
      </w:r>
      <w:proofErr w:type="spellStart"/>
      <w:r w:rsidR="00E376F5" w:rsidRPr="00593435">
        <w:rPr>
          <w:rFonts w:ascii="Times New Roman" w:hAnsi="Times New Roman" w:cs="Times New Roman"/>
          <w:sz w:val="24"/>
          <w:szCs w:val="24"/>
        </w:rPr>
        <w:t>ngược</w:t>
      </w:r>
      <w:proofErr w:type="spellEnd"/>
      <w:r w:rsidR="00E376F5" w:rsidRPr="00593435">
        <w:rPr>
          <w:rFonts w:ascii="Times New Roman" w:hAnsi="Times New Roman" w:cs="Times New Roman"/>
          <w:sz w:val="24"/>
          <w:szCs w:val="24"/>
        </w:rPr>
        <w:t xml:space="preserve"> </w:t>
      </w:r>
      <w:proofErr w:type="spellStart"/>
      <w:r w:rsidR="00E376F5" w:rsidRPr="00593435">
        <w:rPr>
          <w:rFonts w:ascii="Times New Roman" w:hAnsi="Times New Roman" w:cs="Times New Roman"/>
          <w:sz w:val="24"/>
          <w:szCs w:val="24"/>
        </w:rPr>
        <w:t>lại</w:t>
      </w:r>
      <w:proofErr w:type="spellEnd"/>
      <w:r w:rsidR="00E376F5" w:rsidRPr="00593435">
        <w:rPr>
          <w:rFonts w:ascii="Times New Roman" w:hAnsi="Times New Roman" w:cs="Times New Roman"/>
          <w:sz w:val="24"/>
          <w:szCs w:val="24"/>
        </w:rPr>
        <w:t xml:space="preserve"> </w:t>
      </w:r>
      <w:proofErr w:type="spellStart"/>
      <w:r w:rsidR="00E376F5" w:rsidRPr="00593435">
        <w:rPr>
          <w:rFonts w:ascii="Times New Roman" w:hAnsi="Times New Roman" w:cs="Times New Roman"/>
          <w:sz w:val="24"/>
          <w:szCs w:val="24"/>
        </w:rPr>
        <w:t>nếu</w:t>
      </w:r>
      <w:proofErr w:type="spellEnd"/>
      <w:r w:rsidR="00E376F5" w:rsidRPr="00593435">
        <w:rPr>
          <w:rFonts w:ascii="Times New Roman" w:hAnsi="Times New Roman" w:cs="Times New Roman"/>
          <w:sz w:val="24"/>
          <w:szCs w:val="24"/>
        </w:rPr>
        <w:t xml:space="preserve"> PBT </w:t>
      </w:r>
      <w:r w:rsidRPr="00593435">
        <w:rPr>
          <w:rFonts w:ascii="Times New Roman" w:hAnsi="Times New Roman" w:cs="Times New Roman"/>
          <w:sz w:val="24"/>
          <w:szCs w:val="24"/>
        </w:rPr>
        <w:t xml:space="preserve">≤0, NPI </w:t>
      </w:r>
      <w:proofErr w:type="spellStart"/>
      <w:r w:rsidRPr="00593435">
        <w:rPr>
          <w:rFonts w:ascii="Times New Roman" w:hAnsi="Times New Roman" w:cs="Times New Roman"/>
          <w:sz w:val="24"/>
          <w:szCs w:val="24"/>
        </w:rPr>
        <w:t>bằng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giá</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trị</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tuyệt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đối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của</w:t>
      </w:r>
      <w:proofErr w:type="spellEnd"/>
      <w:r w:rsidRPr="00593435">
        <w:rPr>
          <w:rFonts w:ascii="Times New Roman" w:hAnsi="Times New Roman" w:cs="Times New Roman"/>
          <w:sz w:val="24"/>
          <w:szCs w:val="24"/>
        </w:rPr>
        <w:t xml:space="preserve"> PBT </w:t>
      </w:r>
      <w:proofErr w:type="spellStart"/>
      <w:r w:rsidRPr="00593435">
        <w:rPr>
          <w:rFonts w:ascii="Times New Roman" w:hAnsi="Times New Roman" w:cs="Times New Roman"/>
          <w:sz w:val="24"/>
          <w:szCs w:val="24"/>
        </w:rPr>
        <w:t>và</w:t>
      </w:r>
      <w:proofErr w:type="spellEnd"/>
      <w:r w:rsidR="002643AA" w:rsidRPr="00593435">
        <w:rPr>
          <w:rFonts w:ascii="Times New Roman" w:hAnsi="Times New Roman" w:cs="Times New Roman"/>
          <w:sz w:val="24"/>
          <w:szCs w:val="24"/>
        </w:rPr>
        <w:t xml:space="preserve"> PBT</w:t>
      </w:r>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nhận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giá</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trị</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bằng</w:t>
      </w:r>
      <w:proofErr w:type="spellEnd"/>
      <w:r w:rsidRPr="00593435">
        <w:rPr>
          <w:rFonts w:ascii="Times New Roman" w:hAnsi="Times New Roman" w:cs="Times New Roman"/>
          <w:sz w:val="24"/>
          <w:szCs w:val="24"/>
        </w:rPr>
        <w:t xml:space="preserve"> 1. </w:t>
      </w:r>
    </w:p>
    <w:p w14:paraId="41171530" w14:textId="77777777" w:rsidR="00D064B4" w:rsidRDefault="00826C26" w:rsidP="008218C1">
      <w:pPr>
        <w:spacing w:before="120" w:after="0" w:line="312" w:lineRule="auto"/>
        <w:ind w:firstLine="720"/>
        <w:jc w:val="both"/>
        <w:rPr>
          <w:rFonts w:ascii="Times New Roman" w:hAnsi="Times New Roman" w:cs="Times New Roman"/>
          <w:sz w:val="24"/>
          <w:szCs w:val="24"/>
        </w:rPr>
      </w:pPr>
      <w:proofErr w:type="spellStart"/>
      <w:r w:rsidRPr="00593435">
        <w:rPr>
          <w:rFonts w:ascii="Times New Roman" w:hAnsi="Times New Roman" w:cs="Times New Roman"/>
          <w:sz w:val="24"/>
          <w:szCs w:val="24"/>
        </w:rPr>
        <w:t>Mô</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hình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phân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tích</w:t>
      </w:r>
      <w:proofErr w:type="spellEnd"/>
      <w:r w:rsidR="00E376F5" w:rsidRPr="00593435">
        <w:rPr>
          <w:rFonts w:ascii="Times New Roman" w:hAnsi="Times New Roman" w:cs="Times New Roman"/>
          <w:sz w:val="24"/>
          <w:szCs w:val="24"/>
        </w:rPr>
        <w:t xml:space="preserve"> </w:t>
      </w:r>
      <w:proofErr w:type="spellStart"/>
      <w:r w:rsidR="00E376F5" w:rsidRPr="00593435">
        <w:rPr>
          <w:rFonts w:ascii="Times New Roman" w:hAnsi="Times New Roman" w:cs="Times New Roman"/>
          <w:sz w:val="24"/>
          <w:szCs w:val="24"/>
        </w:rPr>
        <w:t>tác</w:t>
      </w:r>
      <w:proofErr w:type="spellEnd"/>
      <w:r w:rsidR="00E376F5" w:rsidRPr="00593435">
        <w:rPr>
          <w:rFonts w:ascii="Times New Roman" w:hAnsi="Times New Roman" w:cs="Times New Roman"/>
          <w:sz w:val="24"/>
          <w:szCs w:val="24"/>
        </w:rPr>
        <w:t xml:space="preserve"> </w:t>
      </w:r>
      <w:proofErr w:type="spellStart"/>
      <w:r w:rsidR="00E376F5" w:rsidRPr="00593435">
        <w:rPr>
          <w:rFonts w:ascii="Times New Roman" w:hAnsi="Times New Roman" w:cs="Times New Roman"/>
          <w:sz w:val="24"/>
          <w:szCs w:val="24"/>
        </w:rPr>
        <w:t>động</w:t>
      </w:r>
      <w:proofErr w:type="spellEnd"/>
      <w:r w:rsidR="00E376F5" w:rsidRPr="00593435">
        <w:rPr>
          <w:rFonts w:ascii="Times New Roman" w:hAnsi="Times New Roman" w:cs="Times New Roman"/>
          <w:sz w:val="24"/>
          <w:szCs w:val="24"/>
        </w:rPr>
        <w:t xml:space="preserve"> </w:t>
      </w:r>
      <w:proofErr w:type="spellStart"/>
      <w:r w:rsidR="00E376F5" w:rsidRPr="00593435">
        <w:rPr>
          <w:rFonts w:ascii="Times New Roman" w:hAnsi="Times New Roman" w:cs="Times New Roman"/>
          <w:sz w:val="24"/>
          <w:szCs w:val="24"/>
        </w:rPr>
        <w:t>của</w:t>
      </w:r>
      <w:proofErr w:type="spellEnd"/>
      <w:r w:rsidR="00E376F5"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bình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đẳng</w:t>
      </w:r>
      <w:proofErr w:type="spellEnd"/>
      <w:r w:rsidR="00E376F5" w:rsidRPr="00593435">
        <w:rPr>
          <w:rFonts w:ascii="Times New Roman" w:hAnsi="Times New Roman" w:cs="Times New Roman"/>
          <w:sz w:val="24"/>
          <w:szCs w:val="24"/>
        </w:rPr>
        <w:t xml:space="preserve"> </w:t>
      </w:r>
      <w:proofErr w:type="spellStart"/>
      <w:r w:rsidR="00E376F5" w:rsidRPr="00593435">
        <w:rPr>
          <w:rFonts w:ascii="Times New Roman" w:hAnsi="Times New Roman" w:cs="Times New Roman"/>
          <w:sz w:val="24"/>
          <w:szCs w:val="24"/>
        </w:rPr>
        <w:t>giới</w:t>
      </w:r>
      <w:proofErr w:type="spellEnd"/>
      <w:r w:rsidR="00E376F5" w:rsidRPr="00593435">
        <w:rPr>
          <w:rFonts w:ascii="Times New Roman" w:hAnsi="Times New Roman" w:cs="Times New Roman"/>
          <w:sz w:val="24"/>
          <w:szCs w:val="24"/>
        </w:rPr>
        <w:t xml:space="preserve"> </w:t>
      </w:r>
      <w:proofErr w:type="spellStart"/>
      <w:r w:rsidR="00E376F5" w:rsidRPr="00593435">
        <w:rPr>
          <w:rFonts w:ascii="Times New Roman" w:hAnsi="Times New Roman" w:cs="Times New Roman"/>
          <w:sz w:val="24"/>
          <w:szCs w:val="24"/>
        </w:rPr>
        <w:t>trong</w:t>
      </w:r>
      <w:proofErr w:type="spellEnd"/>
      <w:r w:rsidR="00E376F5" w:rsidRPr="00593435">
        <w:rPr>
          <w:rFonts w:ascii="Times New Roman" w:hAnsi="Times New Roman" w:cs="Times New Roman"/>
          <w:sz w:val="24"/>
          <w:szCs w:val="24"/>
        </w:rPr>
        <w:t xml:space="preserve"> </w:t>
      </w:r>
      <w:r w:rsidRPr="00593435">
        <w:rPr>
          <w:rFonts w:ascii="Times New Roman" w:hAnsi="Times New Roman" w:cs="Times New Roman"/>
          <w:sz w:val="24"/>
          <w:szCs w:val="24"/>
        </w:rPr>
        <w:t>HĐQT</w:t>
      </w:r>
      <w:r w:rsidR="00E376F5" w:rsidRPr="00593435">
        <w:rPr>
          <w:rFonts w:ascii="Times New Roman" w:hAnsi="Times New Roman" w:cs="Times New Roman"/>
          <w:sz w:val="24"/>
          <w:szCs w:val="24"/>
        </w:rPr>
        <w:t xml:space="preserve"> </w:t>
      </w:r>
      <w:proofErr w:type="spellStart"/>
      <w:r w:rsidR="00E376F5" w:rsidRPr="00593435">
        <w:rPr>
          <w:rFonts w:ascii="Times New Roman" w:hAnsi="Times New Roman" w:cs="Times New Roman"/>
          <w:sz w:val="24"/>
          <w:szCs w:val="24"/>
        </w:rPr>
        <w:t>đối</w:t>
      </w:r>
      <w:proofErr w:type="spellEnd"/>
      <w:r w:rsidR="00E376F5" w:rsidRPr="00593435">
        <w:rPr>
          <w:rFonts w:ascii="Times New Roman" w:hAnsi="Times New Roman" w:cs="Times New Roman"/>
          <w:sz w:val="24"/>
          <w:szCs w:val="24"/>
        </w:rPr>
        <w:t xml:space="preserve"> </w:t>
      </w:r>
      <w:proofErr w:type="spellStart"/>
      <w:r w:rsidR="00E376F5" w:rsidRPr="00593435">
        <w:rPr>
          <w:rFonts w:ascii="Times New Roman" w:hAnsi="Times New Roman" w:cs="Times New Roman"/>
          <w:sz w:val="24"/>
          <w:szCs w:val="24"/>
        </w:rPr>
        <w:t>với</w:t>
      </w:r>
      <w:proofErr w:type="spellEnd"/>
      <w:r w:rsidR="00E376F5" w:rsidRPr="00593435">
        <w:rPr>
          <w:rFonts w:ascii="Times New Roman" w:hAnsi="Times New Roman" w:cs="Times New Roman"/>
          <w:sz w:val="24"/>
          <w:szCs w:val="24"/>
        </w:rPr>
        <w:t xml:space="preserve"> </w:t>
      </w:r>
      <w:proofErr w:type="spellStart"/>
      <w:r w:rsidR="00E376F5" w:rsidRPr="00593435">
        <w:rPr>
          <w:rFonts w:ascii="Times New Roman" w:hAnsi="Times New Roman" w:cs="Times New Roman"/>
          <w:sz w:val="24"/>
          <w:szCs w:val="24"/>
        </w:rPr>
        <w:t>hiệu</w:t>
      </w:r>
      <w:proofErr w:type="spellEnd"/>
      <w:r w:rsidR="00E376F5" w:rsidRPr="00593435">
        <w:rPr>
          <w:rFonts w:ascii="Times New Roman" w:hAnsi="Times New Roman" w:cs="Times New Roman"/>
          <w:sz w:val="24"/>
          <w:szCs w:val="24"/>
        </w:rPr>
        <w:t xml:space="preserve"> </w:t>
      </w:r>
      <w:proofErr w:type="spellStart"/>
      <w:r w:rsidR="00E376F5" w:rsidRPr="00593435">
        <w:rPr>
          <w:rFonts w:ascii="Times New Roman" w:hAnsi="Times New Roman" w:cs="Times New Roman"/>
          <w:sz w:val="24"/>
          <w:szCs w:val="24"/>
        </w:rPr>
        <w:t>quả</w:t>
      </w:r>
      <w:proofErr w:type="spellEnd"/>
      <w:r w:rsidR="00E376F5"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của</w:t>
      </w:r>
      <w:proofErr w:type="spellEnd"/>
      <w:r w:rsidR="00E376F5" w:rsidRPr="00593435">
        <w:rPr>
          <w:rFonts w:ascii="Times New Roman" w:hAnsi="Times New Roman" w:cs="Times New Roman"/>
          <w:sz w:val="24"/>
          <w:szCs w:val="24"/>
        </w:rPr>
        <w:t xml:space="preserve"> </w:t>
      </w:r>
      <w:proofErr w:type="spellStart"/>
      <w:r w:rsidR="00E376F5" w:rsidRPr="00593435">
        <w:rPr>
          <w:rFonts w:ascii="Times New Roman" w:hAnsi="Times New Roman" w:cs="Times New Roman"/>
          <w:sz w:val="24"/>
          <w:szCs w:val="24"/>
        </w:rPr>
        <w:t>ngân</w:t>
      </w:r>
      <w:proofErr w:type="spellEnd"/>
      <w:r w:rsidR="00E376F5"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hàng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được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thể</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hiện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như</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sau</w:t>
      </w:r>
      <w:proofErr w:type="spellEnd"/>
      <w:r w:rsidR="00E376F5" w:rsidRPr="00593435">
        <w:rPr>
          <w:rFonts w:ascii="Times New Roman" w:hAnsi="Times New Roman" w:cs="Times New Roman"/>
          <w:sz w:val="24"/>
          <w:szCs w:val="24"/>
        </w:rPr>
        <w:t>:</w:t>
      </w:r>
    </w:p>
    <w:p w14:paraId="3DF4F6B2" w14:textId="37E3633B" w:rsidR="00D064B4" w:rsidRDefault="00D064B4" w:rsidP="008218C1">
      <w:pPr>
        <w:pStyle w:val="MTDisplayEquation"/>
        <w:spacing w:before="120" w:after="0" w:line="312" w:lineRule="auto"/>
        <w:jc w:val="center"/>
      </w:pPr>
      <w:r w:rsidRPr="00D064B4">
        <w:rPr>
          <w:position w:val="-14"/>
        </w:rPr>
        <w:object w:dxaOrig="4080" w:dyaOrig="400" w14:anchorId="4992BC36">
          <v:shape id="_x0000_i1027" type="#_x0000_t75" style="width:204.1pt;height:19.7pt" o:ole="">
            <v:imagedata r:id="rId12" o:title=""/>
          </v:shape>
          <o:OLEObject Type="Embed" ProgID="Equation.DSMT4" ShapeID="_x0000_i1027" DrawAspect="Content" ObjectID="_1745648816" r:id="rId13"/>
        </w:object>
      </w:r>
      <w:r>
        <w:t xml:space="preserve">                                                        (3)</w:t>
      </w:r>
    </w:p>
    <w:p w14:paraId="4F2290A7" w14:textId="380F9F57" w:rsidR="002643AA" w:rsidRDefault="00DA3F40" w:rsidP="008218C1">
      <w:pPr>
        <w:spacing w:before="120" w:after="0" w:line="312"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hình</w:t>
      </w:r>
      <w:proofErr w:type="spellEnd"/>
      <w:r w:rsidR="002643AA" w:rsidRPr="00593435">
        <w:rPr>
          <w:rFonts w:ascii="Times New Roman" w:hAnsi="Times New Roman" w:cs="Times New Roman"/>
          <w:sz w:val="24"/>
          <w:szCs w:val="24"/>
        </w:rPr>
        <w:t xml:space="preserve"> </w:t>
      </w:r>
      <w:proofErr w:type="spellStart"/>
      <w:r w:rsidR="002643AA" w:rsidRPr="00593435">
        <w:rPr>
          <w:rFonts w:ascii="Times New Roman" w:hAnsi="Times New Roman" w:cs="Times New Roman"/>
          <w:sz w:val="24"/>
          <w:szCs w:val="24"/>
        </w:rPr>
        <w:t>phân</w:t>
      </w:r>
      <w:proofErr w:type="spellEnd"/>
      <w:r w:rsidR="002643AA" w:rsidRPr="00593435">
        <w:rPr>
          <w:rFonts w:ascii="Times New Roman" w:hAnsi="Times New Roman" w:cs="Times New Roman"/>
          <w:sz w:val="24"/>
          <w:szCs w:val="24"/>
        </w:rPr>
        <w:t xml:space="preserve"> </w:t>
      </w:r>
      <w:proofErr w:type="spellStart"/>
      <w:r w:rsidR="002643AA" w:rsidRPr="00593435">
        <w:rPr>
          <w:rFonts w:ascii="Times New Roman" w:hAnsi="Times New Roman" w:cs="Times New Roman"/>
          <w:sz w:val="24"/>
          <w:szCs w:val="24"/>
        </w:rPr>
        <w:t>tích</w:t>
      </w:r>
      <w:proofErr w:type="spellEnd"/>
      <w:r w:rsidR="002643AA" w:rsidRPr="00593435">
        <w:rPr>
          <w:rFonts w:ascii="Times New Roman" w:hAnsi="Times New Roman" w:cs="Times New Roman"/>
          <w:sz w:val="24"/>
          <w:szCs w:val="24"/>
        </w:rPr>
        <w:t xml:space="preserve"> </w:t>
      </w:r>
      <w:proofErr w:type="spellStart"/>
      <w:r w:rsidR="002643AA" w:rsidRPr="00593435">
        <w:rPr>
          <w:rFonts w:ascii="Times New Roman" w:hAnsi="Times New Roman" w:cs="Times New Roman"/>
          <w:sz w:val="24"/>
          <w:szCs w:val="24"/>
        </w:rPr>
        <w:t>tác</w:t>
      </w:r>
      <w:proofErr w:type="spellEnd"/>
      <w:r w:rsidR="002643AA" w:rsidRPr="00593435">
        <w:rPr>
          <w:rFonts w:ascii="Times New Roman" w:hAnsi="Times New Roman" w:cs="Times New Roman"/>
          <w:sz w:val="24"/>
          <w:szCs w:val="24"/>
        </w:rPr>
        <w:t xml:space="preserve"> </w:t>
      </w:r>
      <w:proofErr w:type="spellStart"/>
      <w:r w:rsidR="002643AA" w:rsidRPr="00593435">
        <w:rPr>
          <w:rFonts w:ascii="Times New Roman" w:hAnsi="Times New Roman" w:cs="Times New Roman"/>
          <w:sz w:val="24"/>
          <w:szCs w:val="24"/>
        </w:rPr>
        <w:t>động</w:t>
      </w:r>
      <w:proofErr w:type="spellEnd"/>
      <w:r w:rsidR="002643AA" w:rsidRPr="00593435">
        <w:rPr>
          <w:rFonts w:ascii="Times New Roman" w:hAnsi="Times New Roman" w:cs="Times New Roman"/>
          <w:sz w:val="24"/>
          <w:szCs w:val="24"/>
        </w:rPr>
        <w:t xml:space="preserve"> </w:t>
      </w:r>
      <w:proofErr w:type="spellStart"/>
      <w:r w:rsidR="002643AA" w:rsidRPr="00593435">
        <w:rPr>
          <w:rFonts w:ascii="Times New Roman" w:hAnsi="Times New Roman" w:cs="Times New Roman"/>
          <w:sz w:val="24"/>
          <w:szCs w:val="24"/>
        </w:rPr>
        <w:t>điều</w:t>
      </w:r>
      <w:proofErr w:type="spellEnd"/>
      <w:r w:rsidR="002643AA" w:rsidRPr="00593435">
        <w:rPr>
          <w:rFonts w:ascii="Times New Roman" w:hAnsi="Times New Roman" w:cs="Times New Roman"/>
          <w:sz w:val="24"/>
          <w:szCs w:val="24"/>
        </w:rPr>
        <w:t xml:space="preserve"> </w:t>
      </w:r>
      <w:proofErr w:type="spellStart"/>
      <w:r w:rsidR="002643AA" w:rsidRPr="00593435">
        <w:rPr>
          <w:rFonts w:ascii="Times New Roman" w:hAnsi="Times New Roman" w:cs="Times New Roman"/>
          <w:sz w:val="24"/>
          <w:szCs w:val="24"/>
        </w:rPr>
        <w:t>tiết</w:t>
      </w:r>
      <w:proofErr w:type="spellEnd"/>
      <w:r w:rsidR="002643AA" w:rsidRPr="00593435">
        <w:rPr>
          <w:rFonts w:ascii="Times New Roman" w:hAnsi="Times New Roman" w:cs="Times New Roman"/>
          <w:sz w:val="24"/>
          <w:szCs w:val="24"/>
        </w:rPr>
        <w:t xml:space="preserve"> </w:t>
      </w:r>
      <w:proofErr w:type="spellStart"/>
      <w:r w:rsidR="002643AA" w:rsidRPr="00593435">
        <w:rPr>
          <w:rFonts w:ascii="Times New Roman" w:hAnsi="Times New Roman" w:cs="Times New Roman"/>
          <w:sz w:val="24"/>
          <w:szCs w:val="24"/>
        </w:rPr>
        <w:t>của</w:t>
      </w:r>
      <w:proofErr w:type="spellEnd"/>
      <w:r w:rsidR="002643AA" w:rsidRPr="00593435">
        <w:rPr>
          <w:rFonts w:ascii="Times New Roman" w:hAnsi="Times New Roman" w:cs="Times New Roman"/>
          <w:sz w:val="24"/>
          <w:szCs w:val="24"/>
        </w:rPr>
        <w:t xml:space="preserve"> </w:t>
      </w:r>
      <w:proofErr w:type="spellStart"/>
      <w:r w:rsidR="002643AA" w:rsidRPr="00593435">
        <w:rPr>
          <w:rFonts w:ascii="Times New Roman" w:hAnsi="Times New Roman" w:cs="Times New Roman"/>
          <w:sz w:val="24"/>
          <w:szCs w:val="24"/>
        </w:rPr>
        <w:t>yếu</w:t>
      </w:r>
      <w:proofErr w:type="spellEnd"/>
      <w:r w:rsidR="002643AA" w:rsidRPr="00593435">
        <w:rPr>
          <w:rFonts w:ascii="Times New Roman" w:hAnsi="Times New Roman" w:cs="Times New Roman"/>
          <w:sz w:val="24"/>
          <w:szCs w:val="24"/>
        </w:rPr>
        <w:t xml:space="preserve"> </w:t>
      </w:r>
      <w:proofErr w:type="spellStart"/>
      <w:r w:rsidR="002643AA" w:rsidRPr="00593435">
        <w:rPr>
          <w:rFonts w:ascii="Times New Roman" w:hAnsi="Times New Roman" w:cs="Times New Roman"/>
          <w:sz w:val="24"/>
          <w:szCs w:val="24"/>
        </w:rPr>
        <w:t>tố</w:t>
      </w:r>
      <w:proofErr w:type="spellEnd"/>
      <w:r w:rsidR="002643AA" w:rsidRPr="00593435">
        <w:rPr>
          <w:rFonts w:ascii="Times New Roman" w:hAnsi="Times New Roman" w:cs="Times New Roman"/>
          <w:sz w:val="24"/>
          <w:szCs w:val="24"/>
        </w:rPr>
        <w:t xml:space="preserve"> </w:t>
      </w:r>
      <w:proofErr w:type="spellStart"/>
      <w:r w:rsidR="002643AA" w:rsidRPr="00593435">
        <w:rPr>
          <w:rFonts w:ascii="Times New Roman" w:hAnsi="Times New Roman" w:cs="Times New Roman"/>
          <w:sz w:val="24"/>
          <w:szCs w:val="24"/>
        </w:rPr>
        <w:t>văn</w:t>
      </w:r>
      <w:proofErr w:type="spellEnd"/>
      <w:r w:rsidR="002643AA" w:rsidRPr="00593435">
        <w:rPr>
          <w:rFonts w:ascii="Times New Roman" w:hAnsi="Times New Roman" w:cs="Times New Roman"/>
          <w:sz w:val="24"/>
          <w:szCs w:val="24"/>
        </w:rPr>
        <w:t xml:space="preserve"> </w:t>
      </w:r>
      <w:proofErr w:type="spellStart"/>
      <w:r w:rsidR="002643AA" w:rsidRPr="00593435">
        <w:rPr>
          <w:rFonts w:ascii="Times New Roman" w:hAnsi="Times New Roman" w:cs="Times New Roman"/>
          <w:sz w:val="24"/>
          <w:szCs w:val="24"/>
        </w:rPr>
        <w:t>hóa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như</w:t>
      </w:r>
      <w:proofErr w:type="spellEnd"/>
      <w:r>
        <w:rPr>
          <w:rFonts w:ascii="Times New Roman" w:hAnsi="Times New Roman" w:cs="Times New Roman"/>
          <w:sz w:val="24"/>
          <w:szCs w:val="24"/>
        </w:rPr>
        <w:t xml:space="preserve"> </w:t>
      </w:r>
      <w:proofErr w:type="spellStart"/>
      <w:r w:rsidR="002643AA" w:rsidRPr="00593435">
        <w:rPr>
          <w:rFonts w:ascii="Times New Roman" w:hAnsi="Times New Roman" w:cs="Times New Roman"/>
          <w:sz w:val="24"/>
          <w:szCs w:val="24"/>
        </w:rPr>
        <w:t>sau</w:t>
      </w:r>
      <w:proofErr w:type="spellEnd"/>
      <w:r w:rsidR="002643AA" w:rsidRPr="00593435">
        <w:rPr>
          <w:rFonts w:ascii="Times New Roman" w:hAnsi="Times New Roman" w:cs="Times New Roman"/>
          <w:sz w:val="24"/>
          <w:szCs w:val="24"/>
        </w:rPr>
        <w:t>:</w:t>
      </w:r>
    </w:p>
    <w:p w14:paraId="4A609AE8" w14:textId="6A892372" w:rsidR="00D064B4" w:rsidRPr="00593435" w:rsidRDefault="00D064B4" w:rsidP="008218C1">
      <w:pPr>
        <w:pStyle w:val="MTDisplayEquation"/>
        <w:spacing w:before="120" w:after="0" w:line="312" w:lineRule="auto"/>
      </w:pPr>
      <w:r>
        <w:tab/>
      </w:r>
      <w:r w:rsidRPr="006E20CC">
        <w:rPr>
          <w:position w:val="-14"/>
        </w:rPr>
        <w:object w:dxaOrig="6120" w:dyaOrig="400" w14:anchorId="769B0A3F">
          <v:shape id="_x0000_i1028" type="#_x0000_t75" style="width:306.15pt;height:19.7pt" o:ole="">
            <v:imagedata r:id="rId14" o:title=""/>
          </v:shape>
          <o:OLEObject Type="Embed" ProgID="Equation.DSMT4" ShapeID="_x0000_i1028" DrawAspect="Content" ObjectID="_1745648817" r:id="rId15"/>
        </w:object>
      </w:r>
      <w:r w:rsidR="00343EE3" w:rsidRPr="00D064B4">
        <w:rPr>
          <w:position w:val="-4"/>
        </w:rPr>
        <w:object w:dxaOrig="180" w:dyaOrig="279" w14:anchorId="2AC2BF18">
          <v:shape id="_x0000_i1029" type="#_x0000_t75" style="width:8.8pt;height:14pt" o:ole="">
            <v:imagedata r:id="rId16" o:title=""/>
          </v:shape>
          <o:OLEObject Type="Embed" ProgID="Equation.DSMT4" ShapeID="_x0000_i1029" DrawAspect="Content" ObjectID="_1745648818" r:id="rId17"/>
        </w:object>
      </w:r>
      <w:r>
        <w:t xml:space="preserve">                    (4)</w:t>
      </w:r>
    </w:p>
    <w:p w14:paraId="36FFE4BD" w14:textId="7B05F4B5" w:rsidR="002643AA" w:rsidRPr="00593435" w:rsidRDefault="002643AA" w:rsidP="008218C1">
      <w:pPr>
        <w:spacing w:before="120" w:after="0" w:line="312" w:lineRule="auto"/>
        <w:ind w:firstLine="720"/>
        <w:jc w:val="both"/>
        <w:rPr>
          <w:rFonts w:ascii="Times New Roman" w:hAnsi="Times New Roman" w:cs="Times New Roman"/>
          <w:sz w:val="24"/>
          <w:szCs w:val="24"/>
        </w:rPr>
      </w:pPr>
      <w:r w:rsidRPr="00593435">
        <w:rPr>
          <w:rFonts w:ascii="Times New Roman" w:hAnsi="Times New Roman" w:cs="Times New Roman"/>
          <w:sz w:val="24"/>
          <w:szCs w:val="24"/>
        </w:rPr>
        <w:t xml:space="preserve">Trong </w:t>
      </w:r>
      <w:proofErr w:type="spellStart"/>
      <w:r w:rsidRPr="00593435">
        <w:rPr>
          <w:rFonts w:ascii="Times New Roman" w:hAnsi="Times New Roman" w:cs="Times New Roman"/>
          <w:sz w:val="24"/>
          <w:szCs w:val="24"/>
        </w:rPr>
        <w:t>đó</w:t>
      </w:r>
      <w:proofErr w:type="spellEnd"/>
      <w:r w:rsidRPr="00593435">
        <w:rPr>
          <w:rFonts w:ascii="Times New Roman" w:hAnsi="Times New Roman" w:cs="Times New Roman"/>
          <w:sz w:val="24"/>
          <w:szCs w:val="24"/>
        </w:rPr>
        <w:t xml:space="preserve"> BLAU </w:t>
      </w:r>
      <w:proofErr w:type="spellStart"/>
      <w:r w:rsidRPr="00593435">
        <w:rPr>
          <w:rFonts w:ascii="Times New Roman" w:hAnsi="Times New Roman" w:cs="Times New Roman"/>
          <w:sz w:val="24"/>
          <w:szCs w:val="24"/>
        </w:rPr>
        <w:t>đo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lường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mức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độ</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dạng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về</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giới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trong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hội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đồng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quản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trị</w:t>
      </w:r>
      <w:proofErr w:type="spellEnd"/>
      <w:r w:rsidRPr="00593435">
        <w:rPr>
          <w:rFonts w:ascii="Times New Roman" w:hAnsi="Times New Roman" w:cs="Times New Roman"/>
          <w:sz w:val="24"/>
          <w:szCs w:val="24"/>
        </w:rPr>
        <w:t>, Z(</w:t>
      </w:r>
      <w:proofErr w:type="spellStart"/>
      <w:r w:rsidRPr="00593435">
        <w:rPr>
          <w:rFonts w:ascii="Times New Roman" w:hAnsi="Times New Roman" w:cs="Times New Roman"/>
          <w:sz w:val="24"/>
          <w:szCs w:val="24"/>
        </w:rPr>
        <w:t>i,t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thể</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hiện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một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số</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đặc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điểm</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của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ngân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hàng</w:t>
      </w:r>
      <w:proofErr w:type="spellEnd"/>
      <w:r w:rsidRPr="00593435">
        <w:rPr>
          <w:rFonts w:ascii="Times New Roman" w:hAnsi="Times New Roman" w:cs="Times New Roman"/>
          <w:sz w:val="24"/>
          <w:szCs w:val="24"/>
        </w:rPr>
        <w:t xml:space="preserve"> (SIZE, CAP), </w:t>
      </w:r>
      <w:proofErr w:type="spellStart"/>
      <w:r w:rsidRPr="00593435">
        <w:rPr>
          <w:rFonts w:ascii="Times New Roman" w:hAnsi="Times New Roman" w:cs="Times New Roman"/>
          <w:sz w:val="24"/>
          <w:szCs w:val="24"/>
        </w:rPr>
        <w:t>đặc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điểm</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kinh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tế</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vĩ</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mô</w:t>
      </w:r>
      <w:proofErr w:type="spellEnd"/>
      <w:r w:rsidRPr="00593435">
        <w:rPr>
          <w:rFonts w:ascii="Times New Roman" w:hAnsi="Times New Roman" w:cs="Times New Roman"/>
          <w:sz w:val="24"/>
          <w:szCs w:val="24"/>
        </w:rPr>
        <w:t xml:space="preserve"> (INFL,GDP,FREE), qui </w:t>
      </w:r>
      <w:proofErr w:type="spellStart"/>
      <w:r w:rsidRPr="00593435">
        <w:rPr>
          <w:rFonts w:ascii="Times New Roman" w:hAnsi="Times New Roman" w:cs="Times New Roman"/>
          <w:sz w:val="24"/>
          <w:szCs w:val="24"/>
        </w:rPr>
        <w:t>định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quản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lý</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giám</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sát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ngân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hàng</w:t>
      </w:r>
      <w:proofErr w:type="spellEnd"/>
      <w:r w:rsidRPr="00593435">
        <w:rPr>
          <w:rFonts w:ascii="Times New Roman" w:hAnsi="Times New Roman" w:cs="Times New Roman"/>
          <w:sz w:val="24"/>
          <w:szCs w:val="24"/>
        </w:rPr>
        <w:t xml:space="preserve"> (REST,REQ,SUPIN,PRMON,ASCON,DECON,FOWN,GOWN). </w:t>
      </w:r>
      <w:proofErr w:type="spellStart"/>
      <w:r w:rsidRPr="00593435">
        <w:rPr>
          <w:rFonts w:ascii="Times New Roman" w:hAnsi="Times New Roman" w:cs="Times New Roman"/>
          <w:sz w:val="24"/>
          <w:szCs w:val="24"/>
        </w:rPr>
        <w:t>EPOlow</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biến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thể</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hiện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thái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độ</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của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xã</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hội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đối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với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phụ</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nữ</w:t>
      </w:r>
      <w:proofErr w:type="spellEnd"/>
      <w:r w:rsidRPr="00593435">
        <w:rPr>
          <w:rFonts w:ascii="Times New Roman" w:hAnsi="Times New Roman" w:cs="Times New Roman"/>
          <w:sz w:val="24"/>
          <w:szCs w:val="24"/>
        </w:rPr>
        <w:t xml:space="preserve">. Chi </w:t>
      </w:r>
      <w:proofErr w:type="spellStart"/>
      <w:r w:rsidRPr="00593435">
        <w:rPr>
          <w:rFonts w:ascii="Times New Roman" w:hAnsi="Times New Roman" w:cs="Times New Roman"/>
          <w:sz w:val="24"/>
          <w:szCs w:val="24"/>
        </w:rPr>
        <w:t>tiết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của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biến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được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thể</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hiện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trong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Bảng</w:t>
      </w:r>
      <w:proofErr w:type="spellEnd"/>
      <w:r w:rsidRPr="00593435">
        <w:rPr>
          <w:rFonts w:ascii="Times New Roman" w:hAnsi="Times New Roman" w:cs="Times New Roman"/>
          <w:sz w:val="24"/>
          <w:szCs w:val="24"/>
        </w:rPr>
        <w:t xml:space="preserve"> 1.</w:t>
      </w:r>
    </w:p>
    <w:p w14:paraId="4957314D" w14:textId="119443DF" w:rsidR="002643AA" w:rsidRPr="00593435" w:rsidRDefault="00DE29AF" w:rsidP="008218C1">
      <w:pPr>
        <w:pStyle w:val="ListParagraph"/>
        <w:numPr>
          <w:ilvl w:val="0"/>
          <w:numId w:val="1"/>
        </w:numPr>
        <w:tabs>
          <w:tab w:val="left" w:pos="630"/>
        </w:tabs>
        <w:spacing w:before="120" w:after="0" w:line="312" w:lineRule="auto"/>
        <w:ind w:hanging="720"/>
        <w:contextualSpacing w:val="0"/>
        <w:jc w:val="both"/>
        <w:rPr>
          <w:rFonts w:ascii="Times New Roman" w:hAnsi="Times New Roman" w:cs="Times New Roman"/>
          <w:b/>
          <w:bCs/>
          <w:sz w:val="24"/>
          <w:szCs w:val="24"/>
        </w:rPr>
      </w:pPr>
      <w:r>
        <w:rPr>
          <w:rFonts w:ascii="Times New Roman" w:hAnsi="Times New Roman" w:cs="Times New Roman"/>
          <w:b/>
          <w:bCs/>
          <w:sz w:val="24"/>
          <w:szCs w:val="24"/>
        </w:rPr>
        <w:t>KẾT QUẢ NGHIÊN CỨU VÀ THẢO LUẬN</w:t>
      </w:r>
    </w:p>
    <w:p w14:paraId="310B3D7A" w14:textId="360A85F9" w:rsidR="002643AA" w:rsidRPr="00593435" w:rsidRDefault="002643AA" w:rsidP="008218C1">
      <w:pPr>
        <w:pStyle w:val="ListParagraph"/>
        <w:numPr>
          <w:ilvl w:val="1"/>
          <w:numId w:val="1"/>
        </w:numPr>
        <w:tabs>
          <w:tab w:val="left" w:pos="630"/>
        </w:tabs>
        <w:spacing w:before="120" w:after="0" w:line="312" w:lineRule="auto"/>
        <w:ind w:left="0" w:firstLine="0"/>
        <w:contextualSpacing w:val="0"/>
        <w:jc w:val="both"/>
        <w:rPr>
          <w:rFonts w:ascii="Times New Roman" w:hAnsi="Times New Roman" w:cs="Times New Roman"/>
          <w:b/>
          <w:bCs/>
          <w:i/>
          <w:iCs/>
          <w:sz w:val="24"/>
          <w:szCs w:val="24"/>
        </w:rPr>
      </w:pPr>
      <w:proofErr w:type="spellStart"/>
      <w:r w:rsidRPr="00593435">
        <w:rPr>
          <w:rFonts w:ascii="Times New Roman" w:hAnsi="Times New Roman" w:cs="Times New Roman"/>
          <w:b/>
          <w:bCs/>
          <w:i/>
          <w:iCs/>
          <w:sz w:val="24"/>
          <w:szCs w:val="24"/>
        </w:rPr>
        <w:t>Mô</w:t>
      </w:r>
      <w:proofErr w:type="spellEnd"/>
      <w:r w:rsidRPr="00593435">
        <w:rPr>
          <w:rFonts w:ascii="Times New Roman" w:hAnsi="Times New Roman" w:cs="Times New Roman"/>
          <w:b/>
          <w:bCs/>
          <w:i/>
          <w:iCs/>
          <w:sz w:val="24"/>
          <w:szCs w:val="24"/>
        </w:rPr>
        <w:t xml:space="preserve"> </w:t>
      </w:r>
      <w:proofErr w:type="spellStart"/>
      <w:r w:rsidRPr="00593435">
        <w:rPr>
          <w:rFonts w:ascii="Times New Roman" w:hAnsi="Times New Roman" w:cs="Times New Roman"/>
          <w:b/>
          <w:bCs/>
          <w:i/>
          <w:iCs/>
          <w:sz w:val="24"/>
          <w:szCs w:val="24"/>
        </w:rPr>
        <w:t>tả</w:t>
      </w:r>
      <w:proofErr w:type="spellEnd"/>
      <w:r w:rsidRPr="00593435">
        <w:rPr>
          <w:rFonts w:ascii="Times New Roman" w:hAnsi="Times New Roman" w:cs="Times New Roman"/>
          <w:b/>
          <w:bCs/>
          <w:i/>
          <w:iCs/>
          <w:sz w:val="24"/>
          <w:szCs w:val="24"/>
        </w:rPr>
        <w:t xml:space="preserve"> </w:t>
      </w:r>
      <w:proofErr w:type="spellStart"/>
      <w:r w:rsidRPr="00593435">
        <w:rPr>
          <w:rFonts w:ascii="Times New Roman" w:hAnsi="Times New Roman" w:cs="Times New Roman"/>
          <w:b/>
          <w:bCs/>
          <w:i/>
          <w:iCs/>
          <w:sz w:val="24"/>
          <w:szCs w:val="24"/>
        </w:rPr>
        <w:t>thống</w:t>
      </w:r>
      <w:proofErr w:type="spellEnd"/>
      <w:r w:rsidRPr="00593435">
        <w:rPr>
          <w:rFonts w:ascii="Times New Roman" w:hAnsi="Times New Roman" w:cs="Times New Roman"/>
          <w:b/>
          <w:bCs/>
          <w:i/>
          <w:iCs/>
          <w:sz w:val="24"/>
          <w:szCs w:val="24"/>
        </w:rPr>
        <w:t xml:space="preserve"> </w:t>
      </w:r>
      <w:proofErr w:type="spellStart"/>
      <w:r w:rsidRPr="00593435">
        <w:rPr>
          <w:rFonts w:ascii="Times New Roman" w:hAnsi="Times New Roman" w:cs="Times New Roman"/>
          <w:b/>
          <w:bCs/>
          <w:i/>
          <w:iCs/>
          <w:sz w:val="24"/>
          <w:szCs w:val="24"/>
        </w:rPr>
        <w:t>kê</w:t>
      </w:r>
      <w:proofErr w:type="spellEnd"/>
    </w:p>
    <w:p w14:paraId="17423762" w14:textId="226AC1FD" w:rsidR="002643AA" w:rsidRPr="00593435" w:rsidRDefault="002643AA" w:rsidP="008218C1">
      <w:pPr>
        <w:spacing w:before="120" w:after="0" w:line="312" w:lineRule="auto"/>
        <w:ind w:firstLine="720"/>
        <w:jc w:val="both"/>
        <w:rPr>
          <w:rFonts w:ascii="Times New Roman" w:hAnsi="Times New Roman" w:cs="Times New Roman"/>
          <w:sz w:val="24"/>
          <w:szCs w:val="24"/>
          <w:lang w:val="vi-VN"/>
        </w:rPr>
      </w:pPr>
      <w:proofErr w:type="spellStart"/>
      <w:r w:rsidRPr="00593435">
        <w:rPr>
          <w:rFonts w:ascii="Times New Roman" w:hAnsi="Times New Roman" w:cs="Times New Roman"/>
          <w:sz w:val="24"/>
          <w:szCs w:val="24"/>
        </w:rPr>
        <w:t>Bảng</w:t>
      </w:r>
      <w:proofErr w:type="spellEnd"/>
      <w:r w:rsidRPr="00593435">
        <w:rPr>
          <w:rFonts w:ascii="Times New Roman" w:hAnsi="Times New Roman" w:cs="Times New Roman"/>
          <w:sz w:val="24"/>
          <w:szCs w:val="24"/>
        </w:rPr>
        <w:t xml:space="preserve"> 2 </w:t>
      </w:r>
      <w:proofErr w:type="spellStart"/>
      <w:r w:rsidRPr="00593435">
        <w:rPr>
          <w:rFonts w:ascii="Times New Roman" w:hAnsi="Times New Roman" w:cs="Times New Roman"/>
          <w:sz w:val="24"/>
          <w:szCs w:val="24"/>
        </w:rPr>
        <w:t>trình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bày</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thống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kê</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mô</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tả</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của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biến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độc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lập</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biến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kiểm</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soát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trong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hàm</w:t>
      </w:r>
      <w:proofErr w:type="spellEnd"/>
      <w:r w:rsidRPr="00593435">
        <w:rPr>
          <w:rFonts w:ascii="Times New Roman" w:hAnsi="Times New Roman" w:cs="Times New Roman"/>
          <w:sz w:val="24"/>
          <w:szCs w:val="24"/>
        </w:rPr>
        <w:t xml:space="preserve"> phi </w:t>
      </w:r>
      <w:proofErr w:type="spellStart"/>
      <w:r w:rsidRPr="00593435">
        <w:rPr>
          <w:rFonts w:ascii="Times New Roman" w:hAnsi="Times New Roman" w:cs="Times New Roman"/>
          <w:sz w:val="24"/>
          <w:szCs w:val="24"/>
        </w:rPr>
        <w:t>hiệu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quả</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của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ngân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hàng</w:t>
      </w:r>
      <w:proofErr w:type="spellEnd"/>
      <w:r w:rsidRPr="00593435">
        <w:rPr>
          <w:rFonts w:ascii="Times New Roman" w:hAnsi="Times New Roman" w:cs="Times New Roman"/>
          <w:sz w:val="24"/>
          <w:szCs w:val="24"/>
        </w:rPr>
        <w:t xml:space="preserve"> ở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nước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phát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triển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đang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phát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triển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Giá</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trị</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trung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bình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của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chỉ</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số</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Blau</w:t>
      </w:r>
      <w:proofErr w:type="spellEnd"/>
      <w:r w:rsidRPr="00593435">
        <w:rPr>
          <w:rFonts w:ascii="Times New Roman" w:hAnsi="Times New Roman" w:cs="Times New Roman"/>
          <w:sz w:val="24"/>
          <w:szCs w:val="24"/>
        </w:rPr>
        <w:t xml:space="preserve"> ở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nước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phát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triển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cao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hơn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thấy</w:t>
      </w:r>
      <w:proofErr w:type="spellEnd"/>
      <w:r w:rsidRPr="00593435">
        <w:rPr>
          <w:rFonts w:ascii="Times New Roman" w:hAnsi="Times New Roman" w:cs="Times New Roman"/>
          <w:sz w:val="24"/>
          <w:szCs w:val="24"/>
        </w:rPr>
        <w:t xml:space="preserve"> HĐQT </w:t>
      </w:r>
      <w:proofErr w:type="spellStart"/>
      <w:r w:rsidRPr="00593435">
        <w:rPr>
          <w:rFonts w:ascii="Times New Roman" w:hAnsi="Times New Roman" w:cs="Times New Roman"/>
          <w:sz w:val="24"/>
          <w:szCs w:val="24"/>
        </w:rPr>
        <w:t>ngân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hàng</w:t>
      </w:r>
      <w:proofErr w:type="spellEnd"/>
      <w:r w:rsidRPr="00593435">
        <w:rPr>
          <w:rFonts w:ascii="Times New Roman" w:hAnsi="Times New Roman" w:cs="Times New Roman"/>
          <w:sz w:val="24"/>
          <w:szCs w:val="24"/>
        </w:rPr>
        <w:t xml:space="preserve"> ở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nước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này</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nhìn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chung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dạng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hơn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có</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tỷ</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lệ</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đại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diện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nữ</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cao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hơn</w:t>
      </w:r>
      <w:proofErr w:type="spellEnd"/>
      <w:r w:rsidRPr="00593435">
        <w:rPr>
          <w:rFonts w:ascii="Times New Roman" w:hAnsi="Times New Roman" w:cs="Times New Roman"/>
          <w:sz w:val="24"/>
          <w:szCs w:val="24"/>
        </w:rPr>
        <w:t xml:space="preserve"> so </w:t>
      </w:r>
      <w:proofErr w:type="spellStart"/>
      <w:r w:rsidRPr="00593435">
        <w:rPr>
          <w:rFonts w:ascii="Times New Roman" w:hAnsi="Times New Roman" w:cs="Times New Roman"/>
          <w:sz w:val="24"/>
          <w:szCs w:val="24"/>
        </w:rPr>
        <w:t>với</w:t>
      </w:r>
      <w:proofErr w:type="spellEnd"/>
      <w:r w:rsidRPr="00593435">
        <w:rPr>
          <w:rFonts w:ascii="Times New Roman" w:hAnsi="Times New Roman" w:cs="Times New Roman"/>
          <w:sz w:val="24"/>
          <w:szCs w:val="24"/>
        </w:rPr>
        <w:t xml:space="preserve"> ở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nước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đang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phát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triển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Chỉ</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số</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tự</w:t>
      </w:r>
      <w:proofErr w:type="spellEnd"/>
      <w:r w:rsidRPr="00593435">
        <w:rPr>
          <w:rFonts w:ascii="Times New Roman" w:hAnsi="Times New Roman" w:cs="Times New Roman"/>
          <w:sz w:val="24"/>
          <w:szCs w:val="24"/>
        </w:rPr>
        <w:t xml:space="preserve"> do </w:t>
      </w:r>
      <w:proofErr w:type="spellStart"/>
      <w:r w:rsidRPr="00593435">
        <w:rPr>
          <w:rFonts w:ascii="Times New Roman" w:hAnsi="Times New Roman" w:cs="Times New Roman"/>
          <w:sz w:val="24"/>
          <w:szCs w:val="24"/>
        </w:rPr>
        <w:t>tài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chính</w:t>
      </w:r>
      <w:proofErr w:type="spellEnd"/>
      <w:r w:rsidRPr="00593435">
        <w:rPr>
          <w:rFonts w:ascii="Times New Roman" w:hAnsi="Times New Roman" w:cs="Times New Roman"/>
          <w:sz w:val="24"/>
          <w:szCs w:val="24"/>
        </w:rPr>
        <w:t xml:space="preserve"> ở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nước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phát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triển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cao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hơn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đáng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kể</w:t>
      </w:r>
      <w:proofErr w:type="spellEnd"/>
      <w:r w:rsidRPr="00593435">
        <w:rPr>
          <w:rFonts w:ascii="Times New Roman" w:hAnsi="Times New Roman" w:cs="Times New Roman"/>
          <w:sz w:val="24"/>
          <w:szCs w:val="24"/>
        </w:rPr>
        <w:t xml:space="preserve"> so </w:t>
      </w:r>
      <w:proofErr w:type="spellStart"/>
      <w:r w:rsidRPr="00593435">
        <w:rPr>
          <w:rFonts w:ascii="Times New Roman" w:hAnsi="Times New Roman" w:cs="Times New Roman"/>
          <w:sz w:val="24"/>
          <w:szCs w:val="24"/>
        </w:rPr>
        <w:t>với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nước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đang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phát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triển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lần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lượt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là</w:t>
      </w:r>
      <w:proofErr w:type="spellEnd"/>
      <w:r w:rsidRPr="00593435">
        <w:rPr>
          <w:rFonts w:ascii="Times New Roman" w:hAnsi="Times New Roman" w:cs="Times New Roman"/>
          <w:sz w:val="24"/>
          <w:szCs w:val="24"/>
        </w:rPr>
        <w:t xml:space="preserve"> 74,64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45,32), </w:t>
      </w:r>
      <w:proofErr w:type="spellStart"/>
      <w:r w:rsidRPr="00593435">
        <w:rPr>
          <w:rFonts w:ascii="Times New Roman" w:hAnsi="Times New Roman" w:cs="Times New Roman"/>
          <w:sz w:val="24"/>
          <w:szCs w:val="24"/>
        </w:rPr>
        <w:t>thể</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hiện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mức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độ</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mở</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cửa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tài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chính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cao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hơn</w:t>
      </w:r>
      <w:proofErr w:type="spellEnd"/>
      <w:r w:rsidRPr="00593435">
        <w:rPr>
          <w:rFonts w:ascii="Times New Roman" w:hAnsi="Times New Roman" w:cs="Times New Roman"/>
          <w:sz w:val="24"/>
          <w:szCs w:val="24"/>
        </w:rPr>
        <w:t xml:space="preserve"> ở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nước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này</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Về</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quy</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định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giám</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sát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ngân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hàng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thị</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trường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phát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triển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áp</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đặt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yêu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cầu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nhập</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ngân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hàng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nghiêm</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ngặt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hơn</w:t>
      </w:r>
      <w:proofErr w:type="spellEnd"/>
      <w:r w:rsidR="00E04E86" w:rsidRPr="00593435">
        <w:rPr>
          <w:rFonts w:ascii="Times New Roman" w:hAnsi="Times New Roman" w:cs="Times New Roman"/>
          <w:sz w:val="24"/>
          <w:szCs w:val="24"/>
        </w:rPr>
        <w:t>,</w:t>
      </w:r>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trao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quyền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giám</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sát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tư</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nhân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cao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hơn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có</w:t>
      </w:r>
      <w:proofErr w:type="spellEnd"/>
      <w:r w:rsidR="00E04E86"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mức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độ</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tập</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trung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tài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sản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ngân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hàng</w:t>
      </w:r>
      <w:proofErr w:type="spellEnd"/>
      <w:r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lớn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hơn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trong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khi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các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thị</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trường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đang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phát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triển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có</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mức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độ</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hạn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chế</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hoạt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động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ngân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hàng</w:t>
      </w:r>
      <w:proofErr w:type="spellEnd"/>
      <w:r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và</w:t>
      </w:r>
      <w:proofErr w:type="spellEnd"/>
      <w:r w:rsidR="00E04E86"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mức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độ</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tập</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trung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tiền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gửi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ngân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hàng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cao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hơn</w:t>
      </w:r>
      <w:proofErr w:type="spellEnd"/>
      <w:r w:rsidR="00E04E86" w:rsidRPr="00593435">
        <w:rPr>
          <w:rFonts w:ascii="Times New Roman" w:hAnsi="Times New Roman" w:cs="Times New Roman"/>
          <w:sz w:val="24"/>
          <w:szCs w:val="24"/>
        </w:rPr>
        <w:t>,</w:t>
      </w:r>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tỷ</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lệ</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phần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trăm</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tài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sản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ngân</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hàng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thuộc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sở</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hữu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nước</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ngoài</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sở</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hữu</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của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chính</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phủ</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lớn</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hơn</w:t>
      </w:r>
      <w:proofErr w:type="spellEnd"/>
      <w:r w:rsidRPr="00593435">
        <w:rPr>
          <w:rFonts w:ascii="Times New Roman" w:hAnsi="Times New Roman" w:cs="Times New Roman"/>
          <w:sz w:val="24"/>
          <w:szCs w:val="24"/>
        </w:rPr>
        <w:t>.</w:t>
      </w:r>
    </w:p>
    <w:p w14:paraId="47FB07D5" w14:textId="2962A92C" w:rsidR="00730C82" w:rsidRPr="00C1008C" w:rsidRDefault="00730C82" w:rsidP="008218C1">
      <w:pPr>
        <w:spacing w:before="120" w:after="0" w:line="312" w:lineRule="auto"/>
        <w:jc w:val="both"/>
        <w:rPr>
          <w:rFonts w:ascii="Times New Roman" w:hAnsi="Times New Roman" w:cs="Times New Roman"/>
          <w:i/>
          <w:iCs/>
          <w:sz w:val="24"/>
          <w:szCs w:val="24"/>
          <w:lang w:val="vi-VN"/>
        </w:rPr>
      </w:pPr>
      <w:r w:rsidRPr="00C1008C">
        <w:rPr>
          <w:rFonts w:ascii="Times New Roman" w:hAnsi="Times New Roman" w:cs="Times New Roman"/>
          <w:i/>
          <w:iCs/>
          <w:sz w:val="24"/>
          <w:szCs w:val="24"/>
          <w:lang w:val="vi-VN"/>
        </w:rPr>
        <w:t>Bảng 1: Các biến độc lập và phụ thuộc trong mô hình</w:t>
      </w:r>
    </w:p>
    <w:tbl>
      <w:tblPr>
        <w:tblStyle w:val="TableGrid"/>
        <w:tblW w:w="9576" w:type="dxa"/>
        <w:tblLayout w:type="fixed"/>
        <w:tblLook w:val="04A0" w:firstRow="1" w:lastRow="0" w:firstColumn="1" w:lastColumn="0" w:noHBand="0" w:noVBand="1"/>
      </w:tblPr>
      <w:tblGrid>
        <w:gridCol w:w="1255"/>
        <w:gridCol w:w="6570"/>
        <w:gridCol w:w="1751"/>
      </w:tblGrid>
      <w:tr w:rsidR="00730C82" w:rsidRPr="00C1008C" w14:paraId="55082501" w14:textId="77777777" w:rsidTr="00906EA2">
        <w:trPr>
          <w:trHeight w:val="323"/>
        </w:trPr>
        <w:tc>
          <w:tcPr>
            <w:tcW w:w="1255" w:type="dxa"/>
          </w:tcPr>
          <w:p w14:paraId="6389CFEE" w14:textId="16F3F916" w:rsidR="00730C82" w:rsidRPr="00C1008C" w:rsidRDefault="00730C82" w:rsidP="00906EA2">
            <w:pPr>
              <w:spacing w:before="120" w:after="120"/>
              <w:jc w:val="both"/>
              <w:rPr>
                <w:rFonts w:ascii="Times New Roman" w:hAnsi="Times New Roman" w:cs="Times New Roman"/>
              </w:rPr>
            </w:pPr>
            <w:proofErr w:type="spellStart"/>
            <w:r w:rsidRPr="00C1008C">
              <w:rPr>
                <w:rFonts w:ascii="Times New Roman" w:hAnsi="Times New Roman" w:cs="Times New Roman"/>
              </w:rPr>
              <w:t>Biến</w:t>
            </w:r>
            <w:proofErr w:type="spellEnd"/>
          </w:p>
        </w:tc>
        <w:tc>
          <w:tcPr>
            <w:tcW w:w="6570" w:type="dxa"/>
          </w:tcPr>
          <w:p w14:paraId="38FAD86B" w14:textId="04096A06" w:rsidR="00730C82" w:rsidRPr="00C1008C" w:rsidRDefault="00730C82" w:rsidP="00906EA2">
            <w:pPr>
              <w:spacing w:before="120" w:after="120"/>
              <w:jc w:val="both"/>
              <w:rPr>
                <w:rFonts w:ascii="Times New Roman" w:eastAsiaTheme="majorEastAsia" w:hAnsi="Times New Roman" w:cs="Times New Roman"/>
                <w:bCs/>
                <w:iCs/>
              </w:rPr>
            </w:pPr>
            <w:proofErr w:type="spellStart"/>
            <w:r w:rsidRPr="00C1008C">
              <w:rPr>
                <w:rFonts w:ascii="Times New Roman" w:eastAsiaTheme="majorEastAsia" w:hAnsi="Times New Roman" w:cs="Times New Roman"/>
                <w:bCs/>
                <w:iCs/>
              </w:rPr>
              <w:t>Khái</w:t>
            </w:r>
            <w:proofErr w:type="spellEnd"/>
            <w:r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niệm</w:t>
            </w:r>
            <w:proofErr w:type="spellEnd"/>
          </w:p>
        </w:tc>
        <w:tc>
          <w:tcPr>
            <w:tcW w:w="1751" w:type="dxa"/>
          </w:tcPr>
          <w:p w14:paraId="0A4D5D7C" w14:textId="4BA5F7CE" w:rsidR="00730C82" w:rsidRPr="00C1008C" w:rsidRDefault="00730C82" w:rsidP="00906EA2">
            <w:pPr>
              <w:spacing w:before="120" w:after="120"/>
              <w:jc w:val="both"/>
              <w:rPr>
                <w:rFonts w:ascii="Times New Roman" w:hAnsi="Times New Roman" w:cs="Times New Roman"/>
              </w:rPr>
            </w:pPr>
            <w:proofErr w:type="spellStart"/>
            <w:r w:rsidRPr="00C1008C">
              <w:rPr>
                <w:rFonts w:ascii="Times New Roman" w:hAnsi="Times New Roman" w:cs="Times New Roman"/>
              </w:rPr>
              <w:t>Nguồn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dữ</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liệu</w:t>
            </w:r>
            <w:proofErr w:type="spellEnd"/>
          </w:p>
        </w:tc>
      </w:tr>
      <w:tr w:rsidR="00826C26" w:rsidRPr="00C1008C" w14:paraId="6AADBB85" w14:textId="77777777" w:rsidTr="00906EA2">
        <w:trPr>
          <w:trHeight w:val="440"/>
        </w:trPr>
        <w:tc>
          <w:tcPr>
            <w:tcW w:w="1255" w:type="dxa"/>
          </w:tcPr>
          <w:p w14:paraId="5CF6B2A6" w14:textId="77777777" w:rsidR="00826C26" w:rsidRPr="00C1008C" w:rsidRDefault="00826C26" w:rsidP="00906EA2">
            <w:pPr>
              <w:spacing w:before="120" w:after="120"/>
              <w:jc w:val="both"/>
              <w:rPr>
                <w:rFonts w:ascii="Times New Roman" w:hAnsi="Times New Roman" w:cs="Times New Roman"/>
              </w:rPr>
            </w:pPr>
            <w:r w:rsidRPr="00C1008C">
              <w:rPr>
                <w:rFonts w:ascii="Times New Roman" w:hAnsi="Times New Roman" w:cs="Times New Roman"/>
              </w:rPr>
              <w:t>BLAU</w:t>
            </w:r>
          </w:p>
        </w:tc>
        <w:tc>
          <w:tcPr>
            <w:tcW w:w="6570" w:type="dxa"/>
          </w:tcPr>
          <w:p w14:paraId="3615EDA1" w14:textId="77777777" w:rsidR="00730C82" w:rsidRPr="00C1008C" w:rsidRDefault="00730C82" w:rsidP="00906EA2">
            <w:pPr>
              <w:spacing w:before="120" w:after="120"/>
              <w:jc w:val="both"/>
              <w:rPr>
                <w:rFonts w:ascii="Times New Roman" w:eastAsiaTheme="majorEastAsia" w:hAnsi="Times New Roman" w:cs="Times New Roman"/>
                <w:bCs/>
                <w:iCs/>
              </w:rPr>
            </w:pPr>
            <w:proofErr w:type="spellStart"/>
            <w:r w:rsidRPr="00C1008C">
              <w:rPr>
                <w:rFonts w:ascii="Times New Roman" w:eastAsiaTheme="majorEastAsia" w:hAnsi="Times New Roman" w:cs="Times New Roman"/>
                <w:bCs/>
                <w:iCs/>
              </w:rPr>
              <w:t>Chỉ</w:t>
            </w:r>
            <w:proofErr w:type="spellEnd"/>
            <w:r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số</w:t>
            </w:r>
            <w:proofErr w:type="spellEnd"/>
            <w:r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Blau</w:t>
            </w:r>
            <w:proofErr w:type="spellEnd"/>
            <w:r w:rsidRPr="00C1008C">
              <w:rPr>
                <w:rFonts w:ascii="Times New Roman" w:eastAsiaTheme="majorEastAsia" w:hAnsi="Times New Roman" w:cs="Times New Roman"/>
                <w:bCs/>
                <w:iCs/>
              </w:rPr>
              <w:t xml:space="preserve"> </w:t>
            </w:r>
            <w:r w:rsidRPr="00C1008C">
              <w:rPr>
                <w:rFonts w:ascii="Times New Roman" w:eastAsiaTheme="majorEastAsia" w:hAnsi="Times New Roman" w:cs="Times New Roman"/>
              </w:rPr>
              <w:t xml:space="preserve">= </w:t>
            </w:r>
            <m:oMath>
              <m:r>
                <m:rPr>
                  <m:sty m:val="p"/>
                </m:rPr>
                <w:rPr>
                  <w:rFonts w:ascii="Cambria Math" w:eastAsiaTheme="majorEastAsia" w:hAnsi="Cambria Math" w:cs="Times New Roman"/>
                </w:rPr>
                <m:t>(1-</m:t>
              </m:r>
              <m:nary>
                <m:naryPr>
                  <m:chr m:val="∑"/>
                  <m:limLoc m:val="undOvr"/>
                  <m:ctrlPr>
                    <w:rPr>
                      <w:rFonts w:ascii="Cambria Math" w:eastAsiaTheme="majorEastAsia" w:hAnsi="Cambria Math" w:cs="Times New Roman"/>
                      <w:bCs/>
                      <w:iCs/>
                    </w:rPr>
                  </m:ctrlPr>
                </m:naryPr>
                <m:sub>
                  <m:r>
                    <m:rPr>
                      <m:sty m:val="p"/>
                    </m:rPr>
                    <w:rPr>
                      <w:rFonts w:ascii="Cambria Math" w:eastAsiaTheme="majorEastAsia" w:hAnsi="Cambria Math" w:cs="Times New Roman"/>
                    </w:rPr>
                    <m:t>i=1</m:t>
                  </m:r>
                </m:sub>
                <m:sup>
                  <m:r>
                    <m:rPr>
                      <m:sty m:val="p"/>
                    </m:rPr>
                    <w:rPr>
                      <w:rFonts w:ascii="Cambria Math" w:eastAsiaTheme="majorEastAsia" w:hAnsi="Cambria Math" w:cs="Times New Roman"/>
                    </w:rPr>
                    <m:t>n</m:t>
                  </m:r>
                </m:sup>
                <m:e>
                  <m:sSubSup>
                    <m:sSubSupPr>
                      <m:ctrlPr>
                        <w:rPr>
                          <w:rFonts w:ascii="Cambria Math" w:eastAsiaTheme="majorEastAsia" w:hAnsi="Cambria Math" w:cs="Times New Roman"/>
                          <w:bCs/>
                          <w:iCs/>
                        </w:rPr>
                      </m:ctrlPr>
                    </m:sSubSupPr>
                    <m:e>
                      <m:r>
                        <m:rPr>
                          <m:sty m:val="p"/>
                        </m:rPr>
                        <w:rPr>
                          <w:rFonts w:ascii="Cambria Math" w:eastAsiaTheme="majorEastAsia" w:hAnsi="Cambria Math" w:cs="Times New Roman"/>
                        </w:rPr>
                        <m:t>p</m:t>
                      </m:r>
                    </m:e>
                    <m:sub>
                      <m:r>
                        <m:rPr>
                          <m:sty m:val="p"/>
                        </m:rPr>
                        <w:rPr>
                          <w:rFonts w:ascii="Cambria Math" w:eastAsiaTheme="majorEastAsia" w:hAnsi="Cambria Math" w:cs="Times New Roman"/>
                        </w:rPr>
                        <m:t>i</m:t>
                      </m:r>
                    </m:sub>
                    <m:sup>
                      <m:r>
                        <m:rPr>
                          <m:sty m:val="p"/>
                        </m:rPr>
                        <w:rPr>
                          <w:rFonts w:ascii="Cambria Math" w:eastAsiaTheme="majorEastAsia" w:hAnsi="Cambria Math" w:cs="Times New Roman"/>
                        </w:rPr>
                        <m:t>2</m:t>
                      </m:r>
                    </m:sup>
                  </m:sSubSup>
                </m:e>
              </m:nary>
            </m:oMath>
            <w:r w:rsidR="00826C26" w:rsidRPr="00C1008C">
              <w:rPr>
                <w:rFonts w:ascii="Times New Roman" w:eastAsiaTheme="majorEastAsia" w:hAnsi="Times New Roman" w:cs="Times New Roman"/>
                <w:bCs/>
                <w:iCs/>
              </w:rPr>
              <w:t xml:space="preserve">), </w:t>
            </w:r>
          </w:p>
          <w:p w14:paraId="7F307706" w14:textId="38983E1C" w:rsidR="00826C26" w:rsidRPr="00C1008C" w:rsidRDefault="00730C82" w:rsidP="00906EA2">
            <w:pPr>
              <w:spacing w:before="120" w:after="120"/>
              <w:jc w:val="both"/>
              <w:rPr>
                <w:rFonts w:ascii="Times New Roman" w:eastAsiaTheme="majorEastAsia" w:hAnsi="Times New Roman" w:cs="Times New Roman"/>
              </w:rPr>
            </w:pPr>
            <w:r w:rsidRPr="00C1008C">
              <w:rPr>
                <w:rFonts w:ascii="Times New Roman" w:eastAsiaTheme="majorEastAsia" w:hAnsi="Times New Roman" w:cs="Times New Roman"/>
                <w:bCs/>
                <w:iCs/>
              </w:rPr>
              <w:t xml:space="preserve">Trong </w:t>
            </w:r>
            <w:proofErr w:type="spellStart"/>
            <w:r w:rsidRPr="00C1008C">
              <w:rPr>
                <w:rFonts w:ascii="Times New Roman" w:eastAsiaTheme="majorEastAsia" w:hAnsi="Times New Roman" w:cs="Times New Roman"/>
                <w:bCs/>
                <w:iCs/>
              </w:rPr>
              <w:t>đó</w:t>
            </w:r>
            <w:proofErr w:type="spellEnd"/>
            <w:r w:rsidR="00826C26" w:rsidRPr="00C1008C">
              <w:rPr>
                <w:rFonts w:ascii="Times New Roman" w:eastAsiaTheme="majorEastAsia" w:hAnsi="Times New Roman" w:cs="Times New Roman"/>
                <w:bCs/>
                <w:iCs/>
              </w:rPr>
              <w:t xml:space="preserve"> </w:t>
            </w:r>
            <m:oMath>
              <m:sSub>
                <m:sSubPr>
                  <m:ctrlPr>
                    <w:rPr>
                      <w:rFonts w:ascii="Cambria Math" w:eastAsiaTheme="majorEastAsia" w:hAnsi="Cambria Math" w:cs="Times New Roman"/>
                      <w:bCs/>
                      <w:iCs/>
                    </w:rPr>
                  </m:ctrlPr>
                </m:sSubPr>
                <m:e>
                  <m:r>
                    <m:rPr>
                      <m:sty m:val="p"/>
                    </m:rPr>
                    <w:rPr>
                      <w:rFonts w:ascii="Cambria Math" w:eastAsiaTheme="majorEastAsia" w:hAnsi="Cambria Math" w:cs="Times New Roman"/>
                    </w:rPr>
                    <m:t>p</m:t>
                  </m:r>
                </m:e>
                <m:sub>
                  <m:r>
                    <m:rPr>
                      <m:sty m:val="p"/>
                    </m:rPr>
                    <w:rPr>
                      <w:rFonts w:ascii="Cambria Math" w:eastAsiaTheme="majorEastAsia" w:hAnsi="Cambria Math" w:cs="Times New Roman"/>
                    </w:rPr>
                    <m:t>i</m:t>
                  </m:r>
                </m:sub>
              </m:sSub>
            </m:oMath>
            <w:r w:rsidR="00826C26"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là</w:t>
            </w:r>
            <w:proofErr w:type="spellEnd"/>
            <w:r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tỷ</w:t>
            </w:r>
            <w:proofErr w:type="spellEnd"/>
            <w:r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lệ</w:t>
            </w:r>
            <w:proofErr w:type="spellEnd"/>
            <w:r w:rsidRPr="00C1008C">
              <w:rPr>
                <w:rFonts w:ascii="Times New Roman" w:eastAsiaTheme="majorEastAsia" w:hAnsi="Times New Roman" w:cs="Times New Roman"/>
                <w:bCs/>
                <w:iCs/>
              </w:rPr>
              <w:t xml:space="preserve"> % </w:t>
            </w:r>
            <w:proofErr w:type="spellStart"/>
            <w:r w:rsidRPr="00C1008C">
              <w:rPr>
                <w:rFonts w:ascii="Times New Roman" w:eastAsiaTheme="majorEastAsia" w:hAnsi="Times New Roman" w:cs="Times New Roman"/>
                <w:bCs/>
                <w:iCs/>
              </w:rPr>
              <w:t>của</w:t>
            </w:r>
            <w:proofErr w:type="spellEnd"/>
            <w:r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từng</w:t>
            </w:r>
            <w:proofErr w:type="spellEnd"/>
            <w:r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giới</w:t>
            </w:r>
            <w:proofErr w:type="spellEnd"/>
            <w:r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trong</w:t>
            </w:r>
            <w:proofErr w:type="spellEnd"/>
            <w:r w:rsidRPr="00C1008C">
              <w:rPr>
                <w:rFonts w:ascii="Times New Roman" w:eastAsiaTheme="majorEastAsia" w:hAnsi="Times New Roman" w:cs="Times New Roman"/>
                <w:bCs/>
                <w:iCs/>
              </w:rPr>
              <w:t xml:space="preserve"> HĐQT </w:t>
            </w:r>
            <w:proofErr w:type="spellStart"/>
            <w:r w:rsidRPr="00C1008C">
              <w:rPr>
                <w:rFonts w:ascii="Times New Roman" w:eastAsiaTheme="majorEastAsia" w:hAnsi="Times New Roman" w:cs="Times New Roman"/>
                <w:bCs/>
                <w:iCs/>
              </w:rPr>
              <w:t>và</w:t>
            </w:r>
            <w:proofErr w:type="spellEnd"/>
            <w:r w:rsidRPr="00C1008C">
              <w:rPr>
                <w:rFonts w:ascii="Times New Roman" w:eastAsiaTheme="majorEastAsia" w:hAnsi="Times New Roman" w:cs="Times New Roman"/>
                <w:bCs/>
                <w:iCs/>
              </w:rPr>
              <w:t xml:space="preserve"> n = 2</w:t>
            </w:r>
          </w:p>
        </w:tc>
        <w:tc>
          <w:tcPr>
            <w:tcW w:w="1751" w:type="dxa"/>
          </w:tcPr>
          <w:p w14:paraId="01531087" w14:textId="00EBFD93" w:rsidR="00826C26" w:rsidRPr="00C1008C" w:rsidRDefault="00730C82" w:rsidP="00906EA2">
            <w:pPr>
              <w:spacing w:before="120" w:after="120"/>
              <w:jc w:val="both"/>
              <w:rPr>
                <w:rFonts w:ascii="Times New Roman" w:hAnsi="Times New Roman" w:cs="Times New Roman"/>
              </w:rPr>
            </w:pPr>
            <w:proofErr w:type="spellStart"/>
            <w:r w:rsidRPr="00C1008C">
              <w:rPr>
                <w:rFonts w:ascii="Times New Roman" w:hAnsi="Times New Roman" w:cs="Times New Roman"/>
              </w:rPr>
              <w:t>Báo</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cáo</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thường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niên</w:t>
            </w:r>
            <w:proofErr w:type="spellEnd"/>
          </w:p>
        </w:tc>
      </w:tr>
      <w:tr w:rsidR="00826C26" w:rsidRPr="00C1008C" w14:paraId="09E7FECC" w14:textId="77777777" w:rsidTr="00906EA2">
        <w:trPr>
          <w:trHeight w:val="440"/>
        </w:trPr>
        <w:tc>
          <w:tcPr>
            <w:tcW w:w="1255" w:type="dxa"/>
          </w:tcPr>
          <w:p w14:paraId="25FFCB2A" w14:textId="77777777" w:rsidR="00826C26" w:rsidRPr="00C1008C" w:rsidRDefault="00826C26" w:rsidP="00906EA2">
            <w:pPr>
              <w:spacing w:before="120" w:after="120"/>
              <w:jc w:val="both"/>
              <w:rPr>
                <w:rFonts w:ascii="Times New Roman" w:hAnsi="Times New Roman" w:cs="Times New Roman"/>
              </w:rPr>
            </w:pPr>
            <w:r w:rsidRPr="00C1008C">
              <w:rPr>
                <w:rFonts w:ascii="Times New Roman" w:hAnsi="Times New Roman" w:cs="Times New Roman"/>
              </w:rPr>
              <w:t>SIZE</w:t>
            </w:r>
          </w:p>
        </w:tc>
        <w:tc>
          <w:tcPr>
            <w:tcW w:w="6570" w:type="dxa"/>
          </w:tcPr>
          <w:p w14:paraId="6121D423" w14:textId="3F64E1F0" w:rsidR="00826C26" w:rsidRPr="00C1008C" w:rsidRDefault="00012BF7" w:rsidP="00906EA2">
            <w:pPr>
              <w:spacing w:before="120" w:after="120"/>
              <w:jc w:val="both"/>
              <w:rPr>
                <w:rFonts w:ascii="Times New Roman" w:hAnsi="Times New Roman" w:cs="Times New Roman"/>
              </w:rPr>
            </w:pPr>
            <w:proofErr w:type="spellStart"/>
            <w:r w:rsidRPr="00C1008C">
              <w:rPr>
                <w:rFonts w:ascii="Times New Roman" w:eastAsiaTheme="majorEastAsia" w:hAnsi="Times New Roman" w:cs="Times New Roman"/>
                <w:bCs/>
                <w:iCs/>
              </w:rPr>
              <w:t>Logarit</w:t>
            </w:r>
            <w:proofErr w:type="spellEnd"/>
            <w:r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tự</w:t>
            </w:r>
            <w:proofErr w:type="spellEnd"/>
            <w:r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nhiên</w:t>
            </w:r>
            <w:proofErr w:type="spellEnd"/>
            <w:r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của</w:t>
            </w:r>
            <w:proofErr w:type="spellEnd"/>
            <w:r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giá</w:t>
            </w:r>
            <w:proofErr w:type="spellEnd"/>
            <w:r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trị</w:t>
            </w:r>
            <w:proofErr w:type="spellEnd"/>
            <w:r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số</w:t>
            </w:r>
            <w:proofErr w:type="spellEnd"/>
            <w:r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sách</w:t>
            </w:r>
            <w:proofErr w:type="spellEnd"/>
            <w:r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tổng</w:t>
            </w:r>
            <w:proofErr w:type="spellEnd"/>
            <w:r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tài</w:t>
            </w:r>
            <w:proofErr w:type="spellEnd"/>
            <w:r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sản</w:t>
            </w:r>
            <w:proofErr w:type="spellEnd"/>
            <w:r w:rsidRPr="00C1008C">
              <w:rPr>
                <w:rFonts w:ascii="Times New Roman" w:eastAsiaTheme="majorEastAsia" w:hAnsi="Times New Roman" w:cs="Times New Roman"/>
                <w:bCs/>
                <w:iCs/>
              </w:rPr>
              <w:t xml:space="preserve"> </w:t>
            </w:r>
          </w:p>
        </w:tc>
        <w:tc>
          <w:tcPr>
            <w:tcW w:w="1751" w:type="dxa"/>
          </w:tcPr>
          <w:p w14:paraId="69D4204C" w14:textId="77777777" w:rsidR="00826C26" w:rsidRPr="00C1008C" w:rsidRDefault="00826C26" w:rsidP="00906EA2">
            <w:pPr>
              <w:spacing w:before="120" w:after="120"/>
              <w:jc w:val="both"/>
              <w:rPr>
                <w:rFonts w:ascii="Times New Roman" w:hAnsi="Times New Roman" w:cs="Times New Roman"/>
              </w:rPr>
            </w:pPr>
            <w:r w:rsidRPr="00C1008C">
              <w:rPr>
                <w:rFonts w:ascii="Times New Roman" w:hAnsi="Times New Roman" w:cs="Times New Roman"/>
              </w:rPr>
              <w:t>Fitch Connect</w:t>
            </w:r>
          </w:p>
        </w:tc>
      </w:tr>
      <w:tr w:rsidR="00826C26" w:rsidRPr="00C1008C" w14:paraId="362FBDDD" w14:textId="77777777" w:rsidTr="00906EA2">
        <w:trPr>
          <w:trHeight w:val="440"/>
        </w:trPr>
        <w:tc>
          <w:tcPr>
            <w:tcW w:w="1255" w:type="dxa"/>
          </w:tcPr>
          <w:p w14:paraId="24267CE7" w14:textId="37AFAE41" w:rsidR="00826C26" w:rsidRPr="00C1008C" w:rsidRDefault="00826C26" w:rsidP="00906EA2">
            <w:pPr>
              <w:spacing w:before="120" w:after="120"/>
              <w:jc w:val="both"/>
              <w:rPr>
                <w:rFonts w:ascii="Times New Roman" w:hAnsi="Times New Roman" w:cs="Times New Roman"/>
              </w:rPr>
            </w:pPr>
            <w:r w:rsidRPr="00C1008C">
              <w:rPr>
                <w:rFonts w:ascii="Times New Roman" w:hAnsi="Times New Roman" w:cs="Times New Roman"/>
              </w:rPr>
              <w:t>CAP</w:t>
            </w:r>
          </w:p>
        </w:tc>
        <w:tc>
          <w:tcPr>
            <w:tcW w:w="6570" w:type="dxa"/>
          </w:tcPr>
          <w:p w14:paraId="73926482" w14:textId="02EB60C0" w:rsidR="00826C26" w:rsidRPr="00C1008C" w:rsidRDefault="00012BF7" w:rsidP="00906EA2">
            <w:pPr>
              <w:spacing w:before="120" w:after="120"/>
              <w:jc w:val="both"/>
              <w:rPr>
                <w:rFonts w:ascii="Times New Roman" w:hAnsi="Times New Roman" w:cs="Times New Roman"/>
              </w:rPr>
            </w:pPr>
            <w:proofErr w:type="spellStart"/>
            <w:r w:rsidRPr="00C1008C">
              <w:rPr>
                <w:rFonts w:ascii="Times New Roman" w:eastAsiaTheme="majorEastAsia" w:hAnsi="Times New Roman" w:cs="Times New Roman"/>
                <w:bCs/>
                <w:iCs/>
              </w:rPr>
              <w:t>Tỷ</w:t>
            </w:r>
            <w:proofErr w:type="spellEnd"/>
            <w:r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lệ</w:t>
            </w:r>
            <w:proofErr w:type="spellEnd"/>
            <w:r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vốn</w:t>
            </w:r>
            <w:proofErr w:type="spellEnd"/>
            <w:r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chủ</w:t>
            </w:r>
            <w:proofErr w:type="spellEnd"/>
            <w:r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sở</w:t>
            </w:r>
            <w:proofErr w:type="spellEnd"/>
            <w:r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hữu</w:t>
            </w:r>
            <w:proofErr w:type="spellEnd"/>
            <w:r w:rsidRPr="00C1008C">
              <w:rPr>
                <w:rFonts w:ascii="Times New Roman" w:eastAsiaTheme="majorEastAsia" w:hAnsi="Times New Roman" w:cs="Times New Roman"/>
                <w:bCs/>
                <w:iCs/>
              </w:rPr>
              <w:t>/</w:t>
            </w:r>
            <w:proofErr w:type="spellStart"/>
            <w:r w:rsidRPr="00C1008C">
              <w:rPr>
                <w:rFonts w:ascii="Times New Roman" w:eastAsiaTheme="majorEastAsia" w:hAnsi="Times New Roman" w:cs="Times New Roman"/>
                <w:bCs/>
                <w:iCs/>
              </w:rPr>
              <w:t>tổng</w:t>
            </w:r>
            <w:proofErr w:type="spellEnd"/>
            <w:r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tài</w:t>
            </w:r>
            <w:proofErr w:type="spellEnd"/>
            <w:r w:rsidRPr="00C1008C">
              <w:rPr>
                <w:rFonts w:ascii="Times New Roman" w:eastAsiaTheme="majorEastAsia" w:hAnsi="Times New Roman" w:cs="Times New Roman"/>
                <w:bCs/>
                <w:iCs/>
              </w:rPr>
              <w:t xml:space="preserve"> </w:t>
            </w:r>
            <w:proofErr w:type="spellStart"/>
            <w:r w:rsidRPr="00C1008C">
              <w:rPr>
                <w:rFonts w:ascii="Times New Roman" w:eastAsiaTheme="majorEastAsia" w:hAnsi="Times New Roman" w:cs="Times New Roman"/>
                <w:bCs/>
                <w:iCs/>
              </w:rPr>
              <w:t>sản</w:t>
            </w:r>
            <w:proofErr w:type="spellEnd"/>
          </w:p>
        </w:tc>
        <w:tc>
          <w:tcPr>
            <w:tcW w:w="1751" w:type="dxa"/>
          </w:tcPr>
          <w:p w14:paraId="5226D114" w14:textId="77777777" w:rsidR="00826C26" w:rsidRPr="00C1008C" w:rsidRDefault="00826C26" w:rsidP="00906EA2">
            <w:pPr>
              <w:spacing w:before="120" w:after="120"/>
              <w:jc w:val="both"/>
              <w:rPr>
                <w:rFonts w:ascii="Times New Roman" w:hAnsi="Times New Roman" w:cs="Times New Roman"/>
              </w:rPr>
            </w:pPr>
            <w:r w:rsidRPr="00C1008C">
              <w:rPr>
                <w:rFonts w:ascii="Times New Roman" w:hAnsi="Times New Roman" w:cs="Times New Roman"/>
              </w:rPr>
              <w:t>Fitch Connect</w:t>
            </w:r>
          </w:p>
        </w:tc>
      </w:tr>
      <w:tr w:rsidR="00826C26" w:rsidRPr="00C1008C" w14:paraId="15CD5D27" w14:textId="77777777" w:rsidTr="00906EA2">
        <w:trPr>
          <w:trHeight w:val="440"/>
        </w:trPr>
        <w:tc>
          <w:tcPr>
            <w:tcW w:w="1255" w:type="dxa"/>
          </w:tcPr>
          <w:p w14:paraId="609399B4" w14:textId="29E8EC0B" w:rsidR="00B32056" w:rsidRPr="00C1008C" w:rsidRDefault="00B32056" w:rsidP="00906EA2">
            <w:pPr>
              <w:spacing w:before="120" w:after="120"/>
              <w:jc w:val="both"/>
              <w:rPr>
                <w:rFonts w:ascii="Times New Roman" w:hAnsi="Times New Roman" w:cs="Times New Roman"/>
              </w:rPr>
            </w:pPr>
            <w:r w:rsidRPr="00C1008C">
              <w:rPr>
                <w:rFonts w:ascii="Times New Roman" w:hAnsi="Times New Roman" w:cs="Times New Roman"/>
              </w:rPr>
              <w:lastRenderedPageBreak/>
              <w:t>REST</w:t>
            </w:r>
          </w:p>
        </w:tc>
        <w:tc>
          <w:tcPr>
            <w:tcW w:w="6570" w:type="dxa"/>
          </w:tcPr>
          <w:p w14:paraId="197C871A" w14:textId="1D11497C" w:rsidR="00826C26" w:rsidRPr="00C1008C" w:rsidRDefault="00012BF7" w:rsidP="00906EA2">
            <w:pPr>
              <w:spacing w:before="120" w:after="120"/>
              <w:jc w:val="both"/>
              <w:rPr>
                <w:rFonts w:ascii="Times New Roman" w:hAnsi="Times New Roman" w:cs="Times New Roman"/>
              </w:rPr>
            </w:pPr>
            <w:proofErr w:type="spellStart"/>
            <w:r w:rsidRPr="00C1008C">
              <w:rPr>
                <w:rFonts w:ascii="Times New Roman" w:hAnsi="Times New Roman" w:cs="Times New Roman"/>
              </w:rPr>
              <w:t>Chỉ</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số</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đo</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lường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các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hạn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chế</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về</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hoạt</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động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ngân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hàng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thể</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hiện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mức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độ</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mà</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các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ngân</w:t>
            </w:r>
            <w:proofErr w:type="spellEnd"/>
            <w:r w:rsidRPr="00C1008C">
              <w:rPr>
                <w:rFonts w:ascii="Times New Roman" w:hAnsi="Times New Roman" w:cs="Times New Roman"/>
              </w:rPr>
              <w:t xml:space="preserve"> </w:t>
            </w:r>
            <w:proofErr w:type="spellStart"/>
            <w:r w:rsidR="00C75B9B" w:rsidRPr="00C1008C">
              <w:rPr>
                <w:rFonts w:ascii="Times New Roman" w:hAnsi="Times New Roman" w:cs="Times New Roman"/>
              </w:rPr>
              <w:t>hàng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có</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thể</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tham</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gia</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vào</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hoạt</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động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chứng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khoán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bảo</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hiểm</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và</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bất</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động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sản</w:t>
            </w:r>
            <w:proofErr w:type="spellEnd"/>
            <w:r w:rsidRPr="00C1008C">
              <w:rPr>
                <w:rFonts w:ascii="Times New Roman" w:hAnsi="Times New Roman" w:cs="Times New Roman"/>
              </w:rPr>
              <w:t xml:space="preserve">. </w:t>
            </w:r>
          </w:p>
        </w:tc>
        <w:tc>
          <w:tcPr>
            <w:tcW w:w="1751" w:type="dxa"/>
          </w:tcPr>
          <w:p w14:paraId="5957BBD2" w14:textId="74681724" w:rsidR="00826C26" w:rsidRPr="00C1008C" w:rsidRDefault="00012BF7" w:rsidP="00906EA2">
            <w:pPr>
              <w:spacing w:before="120" w:after="120"/>
              <w:jc w:val="both"/>
              <w:rPr>
                <w:rFonts w:ascii="Times New Roman" w:hAnsi="Times New Roman" w:cs="Times New Roman"/>
              </w:rPr>
            </w:pPr>
            <w:r w:rsidRPr="00C1008C">
              <w:rPr>
                <w:rFonts w:ascii="Times New Roman" w:hAnsi="Times New Roman" w:cs="Times New Roman"/>
              </w:rPr>
              <w:t>World</w:t>
            </w:r>
            <w:r w:rsidR="006D5CC8" w:rsidRPr="00C1008C">
              <w:rPr>
                <w:rFonts w:ascii="Times New Roman" w:hAnsi="Times New Roman" w:cs="Times New Roman"/>
              </w:rPr>
              <w:t xml:space="preserve"> </w:t>
            </w:r>
            <w:r w:rsidRPr="00C1008C">
              <w:rPr>
                <w:rFonts w:ascii="Times New Roman" w:hAnsi="Times New Roman" w:cs="Times New Roman"/>
              </w:rPr>
              <w:t>bank</w:t>
            </w:r>
          </w:p>
        </w:tc>
      </w:tr>
      <w:tr w:rsidR="006D5CC8" w:rsidRPr="00C1008C" w14:paraId="7DB57CA5" w14:textId="77777777" w:rsidTr="00906EA2">
        <w:trPr>
          <w:trHeight w:val="440"/>
        </w:trPr>
        <w:tc>
          <w:tcPr>
            <w:tcW w:w="1255" w:type="dxa"/>
          </w:tcPr>
          <w:p w14:paraId="294D773C" w14:textId="40084569" w:rsidR="006D5CC8" w:rsidRPr="00C1008C" w:rsidRDefault="006D5CC8" w:rsidP="00906EA2">
            <w:pPr>
              <w:spacing w:before="120" w:after="120"/>
              <w:jc w:val="both"/>
              <w:rPr>
                <w:rFonts w:ascii="Times New Roman" w:hAnsi="Times New Roman" w:cs="Times New Roman"/>
              </w:rPr>
            </w:pPr>
            <w:r w:rsidRPr="00C1008C">
              <w:rPr>
                <w:rFonts w:ascii="Times New Roman" w:hAnsi="Times New Roman" w:cs="Times New Roman"/>
              </w:rPr>
              <w:t>REQ</w:t>
            </w:r>
          </w:p>
          <w:p w14:paraId="027B704C" w14:textId="1041564A" w:rsidR="006D5CC8" w:rsidRPr="00C1008C" w:rsidRDefault="006D5CC8" w:rsidP="00906EA2">
            <w:pPr>
              <w:spacing w:before="120" w:after="120"/>
              <w:jc w:val="both"/>
              <w:rPr>
                <w:rFonts w:ascii="Times New Roman" w:hAnsi="Times New Roman" w:cs="Times New Roman"/>
              </w:rPr>
            </w:pPr>
          </w:p>
        </w:tc>
        <w:tc>
          <w:tcPr>
            <w:tcW w:w="6570" w:type="dxa"/>
          </w:tcPr>
          <w:p w14:paraId="548FBFE4" w14:textId="65C17C71" w:rsidR="006D5CC8" w:rsidRPr="00C1008C" w:rsidRDefault="006D5CC8" w:rsidP="00906EA2">
            <w:pPr>
              <w:spacing w:before="120" w:after="120"/>
              <w:jc w:val="both"/>
              <w:rPr>
                <w:rFonts w:ascii="Times New Roman" w:hAnsi="Times New Roman" w:cs="Times New Roman"/>
              </w:rPr>
            </w:pPr>
            <w:proofErr w:type="spellStart"/>
            <w:r w:rsidRPr="00C1008C">
              <w:rPr>
                <w:rFonts w:ascii="Times New Roman" w:hAnsi="Times New Roman" w:cs="Times New Roman"/>
              </w:rPr>
              <w:t>Chỉ</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số</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đo</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lường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các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yêu</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cầu</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tham</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gia</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hoạt</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động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ngân</w:t>
            </w:r>
            <w:proofErr w:type="spellEnd"/>
            <w:r w:rsidRPr="00C1008C">
              <w:rPr>
                <w:rFonts w:ascii="Times New Roman" w:hAnsi="Times New Roman" w:cs="Times New Roman"/>
              </w:rPr>
              <w:t xml:space="preserve"> </w:t>
            </w:r>
            <w:proofErr w:type="spellStart"/>
            <w:r w:rsidR="00C75B9B" w:rsidRPr="00C1008C">
              <w:rPr>
                <w:rFonts w:ascii="Times New Roman" w:hAnsi="Times New Roman" w:cs="Times New Roman"/>
              </w:rPr>
              <w:t>hàng</w:t>
            </w:r>
            <w:proofErr w:type="spellEnd"/>
            <w:r w:rsidRPr="00C1008C">
              <w:rPr>
                <w:rFonts w:ascii="Times New Roman" w:hAnsi="Times New Roman" w:cs="Times New Roman"/>
              </w:rPr>
              <w:t xml:space="preserve"> </w:t>
            </w:r>
            <w:proofErr w:type="spellStart"/>
            <w:r w:rsidR="00906EA2">
              <w:rPr>
                <w:rFonts w:ascii="Times New Roman" w:hAnsi="Times New Roman" w:cs="Times New Roman"/>
              </w:rPr>
              <w:t>và</w:t>
            </w:r>
            <w:proofErr w:type="spellEnd"/>
            <w:r w:rsidR="00906EA2">
              <w:rPr>
                <w:rFonts w:ascii="Times New Roman" w:hAnsi="Times New Roman" w:cs="Times New Roman"/>
              </w:rPr>
              <w:t xml:space="preserve"> bao </w:t>
            </w:r>
            <w:proofErr w:type="spellStart"/>
            <w:r w:rsidR="00906EA2">
              <w:rPr>
                <w:rFonts w:ascii="Times New Roman" w:hAnsi="Times New Roman" w:cs="Times New Roman"/>
              </w:rPr>
              <w:t>gồm</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dự</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thảo</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điều</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lệ</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sơ</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đồ</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tổ</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chức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dự</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kiến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dự</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báo</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tài</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chính</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trong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ba</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năm</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đầu</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tiên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thông</w:t>
            </w:r>
            <w:proofErr w:type="spellEnd"/>
            <w:r w:rsidRPr="00C1008C">
              <w:rPr>
                <w:rFonts w:ascii="Times New Roman" w:hAnsi="Times New Roman" w:cs="Times New Roman"/>
              </w:rPr>
              <w:t xml:space="preserve"> tin </w:t>
            </w:r>
            <w:proofErr w:type="spellStart"/>
            <w:r w:rsidRPr="00C1008C">
              <w:rPr>
                <w:rFonts w:ascii="Times New Roman" w:hAnsi="Times New Roman" w:cs="Times New Roman"/>
              </w:rPr>
              <w:t>tài</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chính</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về</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các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cổ</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đông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lớn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tiềm</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năng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lý</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lịch</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và</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kinh</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nghiệm</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của</w:t>
            </w:r>
            <w:proofErr w:type="spellEnd"/>
            <w:r w:rsidRPr="00C1008C">
              <w:rPr>
                <w:rFonts w:ascii="Times New Roman" w:hAnsi="Times New Roman" w:cs="Times New Roman"/>
              </w:rPr>
              <w:t xml:space="preserve"> ban </w:t>
            </w:r>
            <w:proofErr w:type="spellStart"/>
            <w:r w:rsidRPr="00C1008C">
              <w:rPr>
                <w:rFonts w:ascii="Times New Roman" w:hAnsi="Times New Roman" w:cs="Times New Roman"/>
              </w:rPr>
              <w:t>điều</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hành</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dự</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kiến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nguồn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vốn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được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sử</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dụng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làm</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vốn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của</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ngân</w:t>
            </w:r>
            <w:proofErr w:type="spellEnd"/>
            <w:r w:rsidRPr="00C1008C">
              <w:rPr>
                <w:rFonts w:ascii="Times New Roman" w:hAnsi="Times New Roman" w:cs="Times New Roman"/>
              </w:rPr>
              <w:t xml:space="preserve"> </w:t>
            </w:r>
            <w:proofErr w:type="spellStart"/>
            <w:r w:rsidR="00C75B9B" w:rsidRPr="00C1008C">
              <w:rPr>
                <w:rFonts w:ascii="Times New Roman" w:hAnsi="Times New Roman" w:cs="Times New Roman"/>
              </w:rPr>
              <w:t>hàng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mới</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và</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khác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biệt</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thị</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trường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của</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ngân</w:t>
            </w:r>
            <w:proofErr w:type="spellEnd"/>
            <w:r w:rsidRPr="00C1008C">
              <w:rPr>
                <w:rFonts w:ascii="Times New Roman" w:hAnsi="Times New Roman" w:cs="Times New Roman"/>
              </w:rPr>
              <w:t xml:space="preserve"> </w:t>
            </w:r>
            <w:proofErr w:type="spellStart"/>
            <w:r w:rsidR="00C75B9B" w:rsidRPr="00C1008C">
              <w:rPr>
                <w:rFonts w:ascii="Times New Roman" w:hAnsi="Times New Roman" w:cs="Times New Roman"/>
              </w:rPr>
              <w:t>hàng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mới</w:t>
            </w:r>
            <w:proofErr w:type="spellEnd"/>
            <w:r w:rsidRPr="00C1008C">
              <w:rPr>
                <w:rFonts w:ascii="Times New Roman" w:hAnsi="Times New Roman" w:cs="Times New Roman"/>
              </w:rPr>
              <w:t xml:space="preserve">. </w:t>
            </w:r>
          </w:p>
        </w:tc>
        <w:tc>
          <w:tcPr>
            <w:tcW w:w="1751" w:type="dxa"/>
          </w:tcPr>
          <w:p w14:paraId="29C17515" w14:textId="11729919" w:rsidR="006D5CC8" w:rsidRPr="00C1008C" w:rsidRDefault="006D5CC8" w:rsidP="00906EA2">
            <w:pPr>
              <w:spacing w:before="120" w:after="120"/>
              <w:jc w:val="both"/>
              <w:rPr>
                <w:rFonts w:ascii="Times New Roman" w:hAnsi="Times New Roman" w:cs="Times New Roman"/>
              </w:rPr>
            </w:pPr>
            <w:r w:rsidRPr="00C1008C">
              <w:rPr>
                <w:rFonts w:ascii="Times New Roman" w:hAnsi="Times New Roman" w:cs="Times New Roman"/>
              </w:rPr>
              <w:t>World bank</w:t>
            </w:r>
          </w:p>
        </w:tc>
      </w:tr>
      <w:tr w:rsidR="006D5CC8" w:rsidRPr="00C1008C" w14:paraId="6F6DFABC" w14:textId="77777777" w:rsidTr="00906EA2">
        <w:trPr>
          <w:trHeight w:val="440"/>
        </w:trPr>
        <w:tc>
          <w:tcPr>
            <w:tcW w:w="1255" w:type="dxa"/>
          </w:tcPr>
          <w:p w14:paraId="367BB3DD" w14:textId="359811CD" w:rsidR="006D5CC8" w:rsidRPr="00C1008C" w:rsidRDefault="006D5CC8" w:rsidP="00906EA2">
            <w:pPr>
              <w:spacing w:before="120" w:after="120"/>
              <w:jc w:val="both"/>
              <w:rPr>
                <w:rFonts w:ascii="Times New Roman" w:hAnsi="Times New Roman" w:cs="Times New Roman"/>
              </w:rPr>
            </w:pPr>
            <w:r w:rsidRPr="00C1008C">
              <w:rPr>
                <w:rFonts w:ascii="Times New Roman" w:hAnsi="Times New Roman" w:cs="Times New Roman"/>
              </w:rPr>
              <w:t>SUPIN</w:t>
            </w:r>
          </w:p>
        </w:tc>
        <w:tc>
          <w:tcPr>
            <w:tcW w:w="6570" w:type="dxa"/>
          </w:tcPr>
          <w:p w14:paraId="42AFEABE" w14:textId="2B6548A6" w:rsidR="006D5CC8" w:rsidRPr="00C1008C" w:rsidRDefault="006D5CC8" w:rsidP="00906EA2">
            <w:pPr>
              <w:spacing w:before="120" w:after="120"/>
              <w:jc w:val="both"/>
              <w:rPr>
                <w:rFonts w:ascii="Times New Roman" w:hAnsi="Times New Roman" w:cs="Times New Roman"/>
              </w:rPr>
            </w:pPr>
            <w:proofErr w:type="spellStart"/>
            <w:r w:rsidRPr="00C1008C">
              <w:rPr>
                <w:rFonts w:ascii="Times New Roman" w:hAnsi="Times New Roman" w:cs="Times New Roman"/>
              </w:rPr>
              <w:t>Chỉ</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số</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đo</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lường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mức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độ</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độc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lập</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của</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cơ</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quan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giám</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sát</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và</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phản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ánh</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các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thông</w:t>
            </w:r>
            <w:proofErr w:type="spellEnd"/>
            <w:r w:rsidRPr="00C1008C">
              <w:rPr>
                <w:rFonts w:ascii="Times New Roman" w:hAnsi="Times New Roman" w:cs="Times New Roman"/>
              </w:rPr>
              <w:t xml:space="preserve"> tin </w:t>
            </w:r>
            <w:proofErr w:type="spellStart"/>
            <w:r w:rsidRPr="00C1008C">
              <w:rPr>
                <w:rFonts w:ascii="Times New Roman" w:hAnsi="Times New Roman" w:cs="Times New Roman"/>
              </w:rPr>
              <w:t>sau</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mức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độ</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mà</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cơ</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quan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giám</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sát</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trong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chính</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phủ</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độc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lập</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khỏi</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ảnh</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hưởng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chính</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trị</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được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bảo</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vệ</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về</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mặt</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pháp</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lý</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khỏi</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hệ</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thống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ngân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hàng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và</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có</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thể</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đưa</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ra</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quyết</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định</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độc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lập</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với</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các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cân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nhắc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chính</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trị</w:t>
            </w:r>
            <w:proofErr w:type="spellEnd"/>
            <w:r w:rsidRPr="00C1008C">
              <w:rPr>
                <w:rFonts w:ascii="Times New Roman" w:hAnsi="Times New Roman" w:cs="Times New Roman"/>
              </w:rPr>
              <w:t xml:space="preserve">. </w:t>
            </w:r>
          </w:p>
        </w:tc>
        <w:tc>
          <w:tcPr>
            <w:tcW w:w="1751" w:type="dxa"/>
          </w:tcPr>
          <w:p w14:paraId="71CD6379" w14:textId="5B8B7E21" w:rsidR="006D5CC8" w:rsidRPr="00C1008C" w:rsidRDefault="006D5CC8" w:rsidP="00906EA2">
            <w:pPr>
              <w:spacing w:before="120" w:after="120"/>
              <w:jc w:val="both"/>
              <w:rPr>
                <w:rFonts w:ascii="Times New Roman" w:hAnsi="Times New Roman" w:cs="Times New Roman"/>
              </w:rPr>
            </w:pPr>
            <w:r w:rsidRPr="00C1008C">
              <w:rPr>
                <w:rFonts w:ascii="Times New Roman" w:hAnsi="Times New Roman" w:cs="Times New Roman"/>
              </w:rPr>
              <w:t>World bank</w:t>
            </w:r>
          </w:p>
        </w:tc>
      </w:tr>
      <w:tr w:rsidR="006D5CC8" w:rsidRPr="00C1008C" w14:paraId="65738273" w14:textId="77777777" w:rsidTr="00906EA2">
        <w:trPr>
          <w:trHeight w:val="440"/>
        </w:trPr>
        <w:tc>
          <w:tcPr>
            <w:tcW w:w="1255" w:type="dxa"/>
          </w:tcPr>
          <w:p w14:paraId="69390025" w14:textId="25EFB2CD" w:rsidR="006D5CC8" w:rsidRPr="00C1008C" w:rsidRDefault="006D5CC8" w:rsidP="00906EA2">
            <w:pPr>
              <w:spacing w:before="120" w:after="120"/>
              <w:jc w:val="both"/>
              <w:rPr>
                <w:rFonts w:ascii="Times New Roman" w:hAnsi="Times New Roman" w:cs="Times New Roman"/>
              </w:rPr>
            </w:pPr>
            <w:r w:rsidRPr="00C1008C">
              <w:rPr>
                <w:rFonts w:ascii="Times New Roman" w:hAnsi="Times New Roman" w:cs="Times New Roman"/>
              </w:rPr>
              <w:t>PRMON</w:t>
            </w:r>
          </w:p>
        </w:tc>
        <w:tc>
          <w:tcPr>
            <w:tcW w:w="6570" w:type="dxa"/>
          </w:tcPr>
          <w:p w14:paraId="4AC78367" w14:textId="67A0D0D5" w:rsidR="006D5CC8" w:rsidRPr="00C1008C" w:rsidRDefault="006D5CC8" w:rsidP="00906EA2">
            <w:pPr>
              <w:spacing w:before="120" w:after="120"/>
              <w:jc w:val="both"/>
              <w:rPr>
                <w:rFonts w:ascii="Times New Roman" w:hAnsi="Times New Roman" w:cs="Times New Roman"/>
              </w:rPr>
            </w:pPr>
            <w:proofErr w:type="spellStart"/>
            <w:r w:rsidRPr="00C1008C">
              <w:rPr>
                <w:rFonts w:ascii="Times New Roman" w:hAnsi="Times New Roman" w:cs="Times New Roman"/>
              </w:rPr>
              <w:t>Chỉ</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số</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giám</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sát</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tư</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nhân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đo</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lường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mức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độ</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mà</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các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chính</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sách</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quản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lý</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và</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giám</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sát</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khuyến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khích</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việc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giám</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sát</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tư</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nhân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của</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các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ngân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hàng</w:t>
            </w:r>
            <w:proofErr w:type="spellEnd"/>
            <w:r w:rsidRPr="00C1008C">
              <w:rPr>
                <w:rFonts w:ascii="Times New Roman" w:hAnsi="Times New Roman" w:cs="Times New Roman"/>
              </w:rPr>
              <w:t xml:space="preserve">. </w:t>
            </w:r>
          </w:p>
        </w:tc>
        <w:tc>
          <w:tcPr>
            <w:tcW w:w="1751" w:type="dxa"/>
          </w:tcPr>
          <w:p w14:paraId="6308D8D6" w14:textId="3BD0FD20" w:rsidR="006D5CC8" w:rsidRPr="00C1008C" w:rsidRDefault="006D5CC8" w:rsidP="00906EA2">
            <w:pPr>
              <w:spacing w:before="120" w:after="120"/>
              <w:jc w:val="both"/>
              <w:rPr>
                <w:rFonts w:ascii="Times New Roman" w:hAnsi="Times New Roman" w:cs="Times New Roman"/>
              </w:rPr>
            </w:pPr>
            <w:r w:rsidRPr="00C1008C">
              <w:rPr>
                <w:rFonts w:ascii="Times New Roman" w:hAnsi="Times New Roman" w:cs="Times New Roman"/>
              </w:rPr>
              <w:t>World bank</w:t>
            </w:r>
          </w:p>
        </w:tc>
      </w:tr>
      <w:tr w:rsidR="006D5CC8" w:rsidRPr="00C1008C" w14:paraId="40942A5E" w14:textId="77777777" w:rsidTr="00906EA2">
        <w:trPr>
          <w:trHeight w:val="440"/>
        </w:trPr>
        <w:tc>
          <w:tcPr>
            <w:tcW w:w="1255" w:type="dxa"/>
          </w:tcPr>
          <w:p w14:paraId="1B606785" w14:textId="297A2674" w:rsidR="006D5CC8" w:rsidRPr="00C1008C" w:rsidRDefault="006D5CC8" w:rsidP="00906EA2">
            <w:pPr>
              <w:spacing w:before="120" w:after="120"/>
              <w:jc w:val="both"/>
              <w:rPr>
                <w:rFonts w:ascii="Times New Roman" w:hAnsi="Times New Roman" w:cs="Times New Roman"/>
              </w:rPr>
            </w:pPr>
            <w:r w:rsidRPr="00C1008C">
              <w:rPr>
                <w:rFonts w:ascii="Times New Roman" w:hAnsi="Times New Roman" w:cs="Times New Roman"/>
              </w:rPr>
              <w:t>ASCON</w:t>
            </w:r>
          </w:p>
        </w:tc>
        <w:tc>
          <w:tcPr>
            <w:tcW w:w="6570" w:type="dxa"/>
          </w:tcPr>
          <w:p w14:paraId="5C7028D0" w14:textId="5E2359FE" w:rsidR="006D5CC8" w:rsidRPr="00C1008C" w:rsidRDefault="006D5CC8" w:rsidP="00906EA2">
            <w:pPr>
              <w:spacing w:before="120" w:after="120"/>
              <w:jc w:val="both"/>
              <w:rPr>
                <w:rFonts w:ascii="Times New Roman" w:hAnsi="Times New Roman" w:cs="Times New Roman"/>
              </w:rPr>
            </w:pPr>
            <w:proofErr w:type="spellStart"/>
            <w:r w:rsidRPr="00C1008C">
              <w:rPr>
                <w:rFonts w:ascii="Times New Roman" w:hAnsi="Times New Roman" w:cs="Times New Roman"/>
              </w:rPr>
              <w:t>Chỉ</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số</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tập</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trung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tài</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sản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ngân</w:t>
            </w:r>
            <w:proofErr w:type="spellEnd"/>
            <w:r w:rsidRPr="00C1008C">
              <w:rPr>
                <w:rFonts w:ascii="Times New Roman" w:hAnsi="Times New Roman" w:cs="Times New Roman"/>
              </w:rPr>
              <w:t xml:space="preserve"> </w:t>
            </w:r>
            <w:proofErr w:type="spellStart"/>
            <w:r w:rsidR="00C75B9B" w:rsidRPr="00C1008C">
              <w:rPr>
                <w:rFonts w:ascii="Times New Roman" w:hAnsi="Times New Roman" w:cs="Times New Roman"/>
              </w:rPr>
              <w:t>hàng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được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đo</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lường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bởi</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tỷ</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lệ</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phần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trăm</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tổng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tài</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sản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được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nắm</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giữ</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bởi</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năm</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ngân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hàng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trong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nước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lớn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nhất</w:t>
            </w:r>
            <w:proofErr w:type="spellEnd"/>
            <w:r w:rsidRPr="00C1008C">
              <w:rPr>
                <w:rFonts w:ascii="Times New Roman" w:hAnsi="Times New Roman" w:cs="Times New Roman"/>
              </w:rPr>
              <w:t xml:space="preserve">. </w:t>
            </w:r>
          </w:p>
        </w:tc>
        <w:tc>
          <w:tcPr>
            <w:tcW w:w="1751" w:type="dxa"/>
          </w:tcPr>
          <w:p w14:paraId="55DAA90D" w14:textId="6379341C" w:rsidR="006D5CC8" w:rsidRPr="00C1008C" w:rsidRDefault="006D5CC8" w:rsidP="00906EA2">
            <w:pPr>
              <w:spacing w:before="120" w:after="120"/>
              <w:jc w:val="both"/>
              <w:rPr>
                <w:rFonts w:ascii="Times New Roman" w:hAnsi="Times New Roman" w:cs="Times New Roman"/>
              </w:rPr>
            </w:pPr>
            <w:r w:rsidRPr="00C1008C">
              <w:rPr>
                <w:rFonts w:ascii="Times New Roman" w:hAnsi="Times New Roman" w:cs="Times New Roman"/>
              </w:rPr>
              <w:t>World bank</w:t>
            </w:r>
          </w:p>
        </w:tc>
      </w:tr>
      <w:tr w:rsidR="006D5CC8" w:rsidRPr="00C1008C" w14:paraId="76F0F1D5" w14:textId="77777777" w:rsidTr="00906EA2">
        <w:trPr>
          <w:trHeight w:val="440"/>
        </w:trPr>
        <w:tc>
          <w:tcPr>
            <w:tcW w:w="1255" w:type="dxa"/>
          </w:tcPr>
          <w:p w14:paraId="0F2A3F67" w14:textId="78E10AAE" w:rsidR="006D5CC8" w:rsidRPr="00C1008C" w:rsidRDefault="006D5CC8" w:rsidP="00906EA2">
            <w:pPr>
              <w:spacing w:before="120" w:after="120"/>
              <w:jc w:val="both"/>
              <w:rPr>
                <w:rFonts w:ascii="Times New Roman" w:hAnsi="Times New Roman" w:cs="Times New Roman"/>
              </w:rPr>
            </w:pPr>
            <w:r w:rsidRPr="00C1008C">
              <w:rPr>
                <w:rFonts w:ascii="Times New Roman" w:hAnsi="Times New Roman" w:cs="Times New Roman"/>
              </w:rPr>
              <w:t>DECON</w:t>
            </w:r>
          </w:p>
        </w:tc>
        <w:tc>
          <w:tcPr>
            <w:tcW w:w="6570" w:type="dxa"/>
          </w:tcPr>
          <w:p w14:paraId="62CF116E" w14:textId="6C43F1F8" w:rsidR="006D5CC8" w:rsidRPr="00C1008C" w:rsidRDefault="006D5CC8" w:rsidP="00906EA2">
            <w:pPr>
              <w:spacing w:before="120" w:after="120"/>
              <w:jc w:val="both"/>
              <w:rPr>
                <w:rFonts w:ascii="Times New Roman" w:hAnsi="Times New Roman" w:cs="Times New Roman"/>
              </w:rPr>
            </w:pPr>
            <w:proofErr w:type="spellStart"/>
            <w:r w:rsidRPr="00C1008C">
              <w:rPr>
                <w:rFonts w:ascii="Times New Roman" w:hAnsi="Times New Roman" w:cs="Times New Roman"/>
              </w:rPr>
              <w:t>Chỉ</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số</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tập</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trung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tiền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gửi</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ngân</w:t>
            </w:r>
            <w:proofErr w:type="spellEnd"/>
            <w:r w:rsidRPr="00C1008C">
              <w:rPr>
                <w:rFonts w:ascii="Times New Roman" w:hAnsi="Times New Roman" w:cs="Times New Roman"/>
              </w:rPr>
              <w:t xml:space="preserve"> </w:t>
            </w:r>
            <w:proofErr w:type="spellStart"/>
            <w:r w:rsidR="00C75B9B" w:rsidRPr="00C1008C">
              <w:rPr>
                <w:rFonts w:ascii="Times New Roman" w:hAnsi="Times New Roman" w:cs="Times New Roman"/>
              </w:rPr>
              <w:t>hàng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được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đo</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lường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bởi</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tỷ</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lệ</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phần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trăm</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tiền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gửi</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của</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năm</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ngân</w:t>
            </w:r>
            <w:proofErr w:type="spellEnd"/>
            <w:r w:rsidRPr="00C1008C">
              <w:rPr>
                <w:rFonts w:ascii="Times New Roman" w:hAnsi="Times New Roman" w:cs="Times New Roman"/>
              </w:rPr>
              <w:t xml:space="preserve"> </w:t>
            </w:r>
            <w:proofErr w:type="spellStart"/>
            <w:r w:rsidR="00C75B9B" w:rsidRPr="00C1008C">
              <w:rPr>
                <w:rFonts w:ascii="Times New Roman" w:hAnsi="Times New Roman" w:cs="Times New Roman"/>
              </w:rPr>
              <w:t>hàng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trong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nước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lớn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nhất</w:t>
            </w:r>
            <w:proofErr w:type="spellEnd"/>
            <w:r w:rsidRPr="00C1008C">
              <w:rPr>
                <w:rFonts w:ascii="Times New Roman" w:hAnsi="Times New Roman" w:cs="Times New Roman"/>
              </w:rPr>
              <w:t>.</w:t>
            </w:r>
          </w:p>
        </w:tc>
        <w:tc>
          <w:tcPr>
            <w:tcW w:w="1751" w:type="dxa"/>
          </w:tcPr>
          <w:p w14:paraId="3CDC9FF3" w14:textId="11CC3E28" w:rsidR="006D5CC8" w:rsidRPr="00C1008C" w:rsidRDefault="006D5CC8" w:rsidP="00906EA2">
            <w:pPr>
              <w:spacing w:before="120" w:after="120"/>
              <w:jc w:val="both"/>
              <w:rPr>
                <w:rFonts w:ascii="Times New Roman" w:hAnsi="Times New Roman" w:cs="Times New Roman"/>
              </w:rPr>
            </w:pPr>
            <w:r w:rsidRPr="00C1008C">
              <w:rPr>
                <w:rFonts w:ascii="Times New Roman" w:hAnsi="Times New Roman" w:cs="Times New Roman"/>
              </w:rPr>
              <w:t>World bank</w:t>
            </w:r>
          </w:p>
        </w:tc>
      </w:tr>
      <w:tr w:rsidR="006D5CC8" w:rsidRPr="00C1008C" w14:paraId="79D6172C" w14:textId="77777777" w:rsidTr="00906EA2">
        <w:trPr>
          <w:trHeight w:val="440"/>
        </w:trPr>
        <w:tc>
          <w:tcPr>
            <w:tcW w:w="1255" w:type="dxa"/>
          </w:tcPr>
          <w:p w14:paraId="147A804D" w14:textId="44C6BCC6" w:rsidR="006D5CC8" w:rsidRPr="00C1008C" w:rsidRDefault="006D5CC8" w:rsidP="00906EA2">
            <w:pPr>
              <w:spacing w:before="120" w:after="120"/>
              <w:jc w:val="both"/>
              <w:rPr>
                <w:rFonts w:ascii="Times New Roman" w:hAnsi="Times New Roman" w:cs="Times New Roman"/>
              </w:rPr>
            </w:pPr>
            <w:r w:rsidRPr="00C1008C">
              <w:rPr>
                <w:rFonts w:ascii="Times New Roman" w:hAnsi="Times New Roman" w:cs="Times New Roman"/>
              </w:rPr>
              <w:t>FOWN</w:t>
            </w:r>
          </w:p>
        </w:tc>
        <w:tc>
          <w:tcPr>
            <w:tcW w:w="6570" w:type="dxa"/>
          </w:tcPr>
          <w:p w14:paraId="3A98D0A1" w14:textId="1ECBBDC8" w:rsidR="006D5CC8" w:rsidRPr="00C1008C" w:rsidRDefault="006D5CC8" w:rsidP="00906EA2">
            <w:pPr>
              <w:spacing w:before="120" w:after="120"/>
              <w:jc w:val="both"/>
              <w:rPr>
                <w:rFonts w:ascii="Times New Roman" w:hAnsi="Times New Roman" w:cs="Times New Roman"/>
              </w:rPr>
            </w:pPr>
            <w:proofErr w:type="spellStart"/>
            <w:r w:rsidRPr="00C1008C">
              <w:rPr>
                <w:rFonts w:ascii="Times New Roman" w:hAnsi="Times New Roman" w:cs="Times New Roman"/>
              </w:rPr>
              <w:t>Chỉ</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số</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ngân</w:t>
            </w:r>
            <w:proofErr w:type="spellEnd"/>
            <w:r w:rsidRPr="00C1008C">
              <w:rPr>
                <w:rFonts w:ascii="Times New Roman" w:hAnsi="Times New Roman" w:cs="Times New Roman"/>
              </w:rPr>
              <w:t xml:space="preserve"> </w:t>
            </w:r>
            <w:proofErr w:type="spellStart"/>
            <w:r w:rsidR="00C75B9B" w:rsidRPr="00C1008C">
              <w:rPr>
                <w:rFonts w:ascii="Times New Roman" w:hAnsi="Times New Roman" w:cs="Times New Roman"/>
              </w:rPr>
              <w:t>hàng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sở</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hữu</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nước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ngoài</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thể</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hiện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tỷ</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lệ</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phần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trăm</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của</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tài</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sản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của</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những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ngân</w:t>
            </w:r>
            <w:proofErr w:type="spellEnd"/>
            <w:r w:rsidRPr="00C1008C">
              <w:rPr>
                <w:rFonts w:ascii="Times New Roman" w:hAnsi="Times New Roman" w:cs="Times New Roman"/>
              </w:rPr>
              <w:t xml:space="preserve"> </w:t>
            </w:r>
            <w:proofErr w:type="spellStart"/>
            <w:r w:rsidR="00C75B9B" w:rsidRPr="00C1008C">
              <w:rPr>
                <w:rFonts w:ascii="Times New Roman" w:hAnsi="Times New Roman" w:cs="Times New Roman"/>
              </w:rPr>
              <w:t>hàng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có</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sở</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hữu</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nước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ngoài</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từ</w:t>
            </w:r>
            <w:proofErr w:type="spellEnd"/>
            <w:r w:rsidRPr="00C1008C">
              <w:rPr>
                <w:rFonts w:ascii="Times New Roman" w:hAnsi="Times New Roman" w:cs="Times New Roman"/>
              </w:rPr>
              <w:t xml:space="preserve"> 50% </w:t>
            </w:r>
            <w:proofErr w:type="spellStart"/>
            <w:r w:rsidRPr="00C1008C">
              <w:rPr>
                <w:rFonts w:ascii="Times New Roman" w:hAnsi="Times New Roman" w:cs="Times New Roman"/>
              </w:rPr>
              <w:t>trở</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lên</w:t>
            </w:r>
            <w:proofErr w:type="spellEnd"/>
            <w:r w:rsidRPr="00C1008C">
              <w:rPr>
                <w:rFonts w:ascii="Times New Roman" w:hAnsi="Times New Roman" w:cs="Times New Roman"/>
              </w:rPr>
              <w:t xml:space="preserve"> so </w:t>
            </w:r>
            <w:proofErr w:type="spellStart"/>
            <w:r w:rsidRPr="00C1008C">
              <w:rPr>
                <w:rFonts w:ascii="Times New Roman" w:hAnsi="Times New Roman" w:cs="Times New Roman"/>
              </w:rPr>
              <w:t>với</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tổng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tài</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sản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của</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cả</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hệ</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thống</w:t>
            </w:r>
            <w:proofErr w:type="spellEnd"/>
          </w:p>
        </w:tc>
        <w:tc>
          <w:tcPr>
            <w:tcW w:w="1751" w:type="dxa"/>
          </w:tcPr>
          <w:p w14:paraId="13889558" w14:textId="4D6AB5C6" w:rsidR="006D5CC8" w:rsidRPr="00C1008C" w:rsidRDefault="006D5CC8" w:rsidP="00906EA2">
            <w:pPr>
              <w:spacing w:before="120" w:after="120"/>
              <w:jc w:val="both"/>
              <w:rPr>
                <w:rFonts w:ascii="Times New Roman" w:hAnsi="Times New Roman" w:cs="Times New Roman"/>
              </w:rPr>
            </w:pPr>
            <w:r w:rsidRPr="00C1008C">
              <w:rPr>
                <w:rFonts w:ascii="Times New Roman" w:hAnsi="Times New Roman" w:cs="Times New Roman"/>
              </w:rPr>
              <w:t>World bank</w:t>
            </w:r>
          </w:p>
        </w:tc>
      </w:tr>
      <w:tr w:rsidR="006D5CC8" w:rsidRPr="00C1008C" w14:paraId="242A2005" w14:textId="77777777" w:rsidTr="00906EA2">
        <w:trPr>
          <w:trHeight w:val="440"/>
        </w:trPr>
        <w:tc>
          <w:tcPr>
            <w:tcW w:w="1255" w:type="dxa"/>
          </w:tcPr>
          <w:p w14:paraId="2543FAC2" w14:textId="46DCBC7B" w:rsidR="006D5CC8" w:rsidRPr="00C1008C" w:rsidRDefault="006D5CC8" w:rsidP="00906EA2">
            <w:pPr>
              <w:spacing w:before="120" w:after="120"/>
              <w:jc w:val="both"/>
              <w:rPr>
                <w:rFonts w:ascii="Times New Roman" w:hAnsi="Times New Roman" w:cs="Times New Roman"/>
              </w:rPr>
            </w:pPr>
            <w:r w:rsidRPr="00C1008C">
              <w:rPr>
                <w:rFonts w:ascii="Times New Roman" w:hAnsi="Times New Roman" w:cs="Times New Roman"/>
              </w:rPr>
              <w:t>GOWN</w:t>
            </w:r>
          </w:p>
        </w:tc>
        <w:tc>
          <w:tcPr>
            <w:tcW w:w="6570" w:type="dxa"/>
          </w:tcPr>
          <w:p w14:paraId="3BF79D0C" w14:textId="66BA1527" w:rsidR="006D5CC8" w:rsidRPr="00C1008C" w:rsidRDefault="006D5CC8" w:rsidP="00906EA2">
            <w:pPr>
              <w:spacing w:before="120" w:after="120"/>
              <w:jc w:val="both"/>
              <w:rPr>
                <w:rFonts w:ascii="Times New Roman" w:hAnsi="Times New Roman" w:cs="Times New Roman"/>
              </w:rPr>
            </w:pPr>
            <w:proofErr w:type="spellStart"/>
            <w:r w:rsidRPr="00C1008C">
              <w:rPr>
                <w:rFonts w:ascii="Times New Roman" w:hAnsi="Times New Roman" w:cs="Times New Roman"/>
              </w:rPr>
              <w:t>Chỉ</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số</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ngân</w:t>
            </w:r>
            <w:proofErr w:type="spellEnd"/>
            <w:r w:rsidRPr="00C1008C">
              <w:rPr>
                <w:rFonts w:ascii="Times New Roman" w:hAnsi="Times New Roman" w:cs="Times New Roman"/>
              </w:rPr>
              <w:t xml:space="preserve"> </w:t>
            </w:r>
            <w:proofErr w:type="spellStart"/>
            <w:r w:rsidR="00C75B9B" w:rsidRPr="00C1008C">
              <w:rPr>
                <w:rFonts w:ascii="Times New Roman" w:hAnsi="Times New Roman" w:cs="Times New Roman"/>
              </w:rPr>
              <w:t>hàng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sở</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hữu</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nhà</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nước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thể</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hiện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tỷ</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lệ</w:t>
            </w:r>
            <w:proofErr w:type="spellEnd"/>
            <w:r w:rsidRPr="00C1008C">
              <w:rPr>
                <w:rFonts w:ascii="Times New Roman" w:hAnsi="Times New Roman" w:cs="Times New Roman"/>
              </w:rPr>
              <w:t xml:space="preserve"> </w:t>
            </w:r>
            <w:r w:rsidR="00906EA2">
              <w:rPr>
                <w:rFonts w:ascii="Times New Roman" w:hAnsi="Times New Roman" w:cs="Times New Roman"/>
              </w:rPr>
              <w:t>%</w:t>
            </w:r>
            <w:r w:rsidRPr="00C1008C">
              <w:rPr>
                <w:rFonts w:ascii="Times New Roman" w:hAnsi="Times New Roman" w:cs="Times New Roman"/>
              </w:rPr>
              <w:t xml:space="preserve"> </w:t>
            </w:r>
            <w:proofErr w:type="spellStart"/>
            <w:r w:rsidRPr="00C1008C">
              <w:rPr>
                <w:rFonts w:ascii="Times New Roman" w:hAnsi="Times New Roman" w:cs="Times New Roman"/>
              </w:rPr>
              <w:t>của</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tài</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sản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của</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những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ngân</w:t>
            </w:r>
            <w:proofErr w:type="spellEnd"/>
            <w:r w:rsidRPr="00C1008C">
              <w:rPr>
                <w:rFonts w:ascii="Times New Roman" w:hAnsi="Times New Roman" w:cs="Times New Roman"/>
              </w:rPr>
              <w:t xml:space="preserve"> </w:t>
            </w:r>
            <w:proofErr w:type="spellStart"/>
            <w:r w:rsidR="00C75B9B" w:rsidRPr="00C1008C">
              <w:rPr>
                <w:rFonts w:ascii="Times New Roman" w:hAnsi="Times New Roman" w:cs="Times New Roman"/>
              </w:rPr>
              <w:t>hàng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có</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sở</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hữu</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nhà</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nước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từ</w:t>
            </w:r>
            <w:proofErr w:type="spellEnd"/>
            <w:r w:rsidRPr="00C1008C">
              <w:rPr>
                <w:rFonts w:ascii="Times New Roman" w:hAnsi="Times New Roman" w:cs="Times New Roman"/>
              </w:rPr>
              <w:t xml:space="preserve"> 50% </w:t>
            </w:r>
            <w:proofErr w:type="spellStart"/>
            <w:r w:rsidRPr="00C1008C">
              <w:rPr>
                <w:rFonts w:ascii="Times New Roman" w:hAnsi="Times New Roman" w:cs="Times New Roman"/>
              </w:rPr>
              <w:t>trở</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lên</w:t>
            </w:r>
            <w:proofErr w:type="spellEnd"/>
            <w:r w:rsidRPr="00C1008C">
              <w:rPr>
                <w:rFonts w:ascii="Times New Roman" w:hAnsi="Times New Roman" w:cs="Times New Roman"/>
              </w:rPr>
              <w:t xml:space="preserve"> so </w:t>
            </w:r>
            <w:proofErr w:type="spellStart"/>
            <w:r w:rsidRPr="00C1008C">
              <w:rPr>
                <w:rFonts w:ascii="Times New Roman" w:hAnsi="Times New Roman" w:cs="Times New Roman"/>
              </w:rPr>
              <w:t>với</w:t>
            </w:r>
            <w:proofErr w:type="spellEnd"/>
            <w:r w:rsidR="00906EA2">
              <w:rPr>
                <w:rFonts w:ascii="Times New Roman" w:hAnsi="Times New Roman" w:cs="Times New Roman"/>
              </w:rPr>
              <w:t xml:space="preserve"> </w:t>
            </w:r>
            <w:proofErr w:type="spellStart"/>
            <w:r w:rsidRPr="00C1008C">
              <w:rPr>
                <w:rFonts w:ascii="Times New Roman" w:hAnsi="Times New Roman" w:cs="Times New Roman"/>
              </w:rPr>
              <w:t>cả</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hệ</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thống</w:t>
            </w:r>
            <w:proofErr w:type="spellEnd"/>
          </w:p>
        </w:tc>
        <w:tc>
          <w:tcPr>
            <w:tcW w:w="1751" w:type="dxa"/>
          </w:tcPr>
          <w:p w14:paraId="2550B485" w14:textId="31C42921" w:rsidR="006D5CC8" w:rsidRPr="00C1008C" w:rsidRDefault="006D5CC8" w:rsidP="00906EA2">
            <w:pPr>
              <w:spacing w:before="120" w:after="120"/>
              <w:jc w:val="both"/>
              <w:rPr>
                <w:rFonts w:ascii="Times New Roman" w:hAnsi="Times New Roman" w:cs="Times New Roman"/>
              </w:rPr>
            </w:pPr>
            <w:r w:rsidRPr="00C1008C">
              <w:rPr>
                <w:rFonts w:ascii="Times New Roman" w:hAnsi="Times New Roman" w:cs="Times New Roman"/>
              </w:rPr>
              <w:t>World bank</w:t>
            </w:r>
          </w:p>
        </w:tc>
      </w:tr>
      <w:tr w:rsidR="006D5CC8" w:rsidRPr="00C1008C" w14:paraId="19944916" w14:textId="77777777" w:rsidTr="00906EA2">
        <w:trPr>
          <w:trHeight w:val="440"/>
        </w:trPr>
        <w:tc>
          <w:tcPr>
            <w:tcW w:w="1255" w:type="dxa"/>
          </w:tcPr>
          <w:p w14:paraId="7F1B2126" w14:textId="212132EF" w:rsidR="006D5CC8" w:rsidRPr="00C1008C" w:rsidRDefault="006D5CC8" w:rsidP="00906EA2">
            <w:pPr>
              <w:spacing w:before="120" w:after="120"/>
              <w:jc w:val="both"/>
              <w:rPr>
                <w:rFonts w:ascii="Times New Roman" w:hAnsi="Times New Roman" w:cs="Times New Roman"/>
              </w:rPr>
            </w:pPr>
            <w:r w:rsidRPr="00C1008C">
              <w:rPr>
                <w:rFonts w:ascii="Times New Roman" w:hAnsi="Times New Roman" w:cs="Times New Roman"/>
              </w:rPr>
              <w:t>FREE</w:t>
            </w:r>
          </w:p>
        </w:tc>
        <w:tc>
          <w:tcPr>
            <w:tcW w:w="6570" w:type="dxa"/>
          </w:tcPr>
          <w:p w14:paraId="4ED3BDFE" w14:textId="1BF36701" w:rsidR="006D5CC8" w:rsidRPr="00C1008C" w:rsidRDefault="006D5CC8" w:rsidP="00906EA2">
            <w:pPr>
              <w:spacing w:before="120" w:after="120"/>
              <w:jc w:val="both"/>
              <w:rPr>
                <w:rFonts w:ascii="Times New Roman" w:hAnsi="Times New Roman" w:cs="Times New Roman"/>
              </w:rPr>
            </w:pPr>
            <w:proofErr w:type="spellStart"/>
            <w:r w:rsidRPr="00C1008C">
              <w:rPr>
                <w:rFonts w:ascii="Times New Roman" w:hAnsi="Times New Roman" w:cs="Times New Roman"/>
              </w:rPr>
              <w:t>Chỉ</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số</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tự</w:t>
            </w:r>
            <w:proofErr w:type="spellEnd"/>
            <w:r w:rsidRPr="00C1008C">
              <w:rPr>
                <w:rFonts w:ascii="Times New Roman" w:hAnsi="Times New Roman" w:cs="Times New Roman"/>
              </w:rPr>
              <w:t xml:space="preserve"> do </w:t>
            </w:r>
            <w:proofErr w:type="spellStart"/>
            <w:r w:rsidRPr="00C1008C">
              <w:rPr>
                <w:rFonts w:ascii="Times New Roman" w:hAnsi="Times New Roman" w:cs="Times New Roman"/>
              </w:rPr>
              <w:t>tài</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chính</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đo</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lường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mức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độ</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độc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lập</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của</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hệ</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thống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tài</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chính</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khỏi</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sự</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điều</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khiển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và</w:t>
            </w:r>
            <w:proofErr w:type="spellEnd"/>
            <w:r w:rsidRPr="00C1008C">
              <w:rPr>
                <w:rFonts w:ascii="Times New Roman" w:hAnsi="Times New Roman" w:cs="Times New Roman"/>
              </w:rPr>
              <w:t xml:space="preserve"> can </w:t>
            </w:r>
            <w:proofErr w:type="spellStart"/>
            <w:r w:rsidRPr="00C1008C">
              <w:rPr>
                <w:rFonts w:ascii="Times New Roman" w:hAnsi="Times New Roman" w:cs="Times New Roman"/>
              </w:rPr>
              <w:t>thiệp</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của</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chính</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phủ</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trong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năm</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khía</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cạnh</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mức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độ</w:t>
            </w:r>
            <w:proofErr w:type="spellEnd"/>
            <w:r w:rsidRPr="00C1008C">
              <w:rPr>
                <w:rFonts w:ascii="Times New Roman" w:hAnsi="Times New Roman" w:cs="Times New Roman"/>
              </w:rPr>
              <w:t xml:space="preserve"> </w:t>
            </w:r>
            <w:proofErr w:type="spellStart"/>
            <w:r w:rsidR="00D177F5" w:rsidRPr="00C1008C">
              <w:rPr>
                <w:rFonts w:ascii="Times New Roman" w:hAnsi="Times New Roman" w:cs="Times New Roman"/>
              </w:rPr>
              <w:t>giám</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sát</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của</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chính</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ph</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mức</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độ</w:t>
            </w:r>
            <w:proofErr w:type="spellEnd"/>
            <w:r w:rsidR="00D177F5" w:rsidRPr="00C1008C">
              <w:rPr>
                <w:rFonts w:ascii="Times New Roman" w:hAnsi="Times New Roman" w:cs="Times New Roman"/>
              </w:rPr>
              <w:t xml:space="preserve"> can </w:t>
            </w:r>
            <w:proofErr w:type="spellStart"/>
            <w:r w:rsidR="00D177F5" w:rsidRPr="00C1008C">
              <w:rPr>
                <w:rFonts w:ascii="Times New Roman" w:hAnsi="Times New Roman" w:cs="Times New Roman"/>
              </w:rPr>
              <w:t>thiệp</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của</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nhà</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nước</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vào</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ngân</w:t>
            </w:r>
            <w:proofErr w:type="spellEnd"/>
            <w:r w:rsidR="00D177F5" w:rsidRPr="00C1008C">
              <w:rPr>
                <w:rFonts w:ascii="Times New Roman" w:hAnsi="Times New Roman" w:cs="Times New Roman"/>
              </w:rPr>
              <w:t xml:space="preserve"> </w:t>
            </w:r>
            <w:proofErr w:type="spellStart"/>
            <w:r w:rsidR="00C75B9B" w:rsidRPr="00C1008C">
              <w:rPr>
                <w:rFonts w:ascii="Times New Roman" w:hAnsi="Times New Roman" w:cs="Times New Roman"/>
              </w:rPr>
              <w:t>hàng</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ảnh</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hưởng</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của</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chính</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phủ</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đối</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với</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việc</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phân</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bổ</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hạn</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mức</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tín</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dụng</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mức</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độ</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phát</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triển</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của</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thị</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trường</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tài</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chính</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và</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thị</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trường</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vốn</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và</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độ</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mở</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đối</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với</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cạnh</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tranh</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nước</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ngoài</w:t>
            </w:r>
            <w:proofErr w:type="spellEnd"/>
            <w:r w:rsidR="00D177F5" w:rsidRPr="00C1008C">
              <w:rPr>
                <w:rFonts w:ascii="Times New Roman" w:hAnsi="Times New Roman" w:cs="Times New Roman"/>
              </w:rPr>
              <w:t xml:space="preserve">. </w:t>
            </w:r>
          </w:p>
        </w:tc>
        <w:tc>
          <w:tcPr>
            <w:tcW w:w="1751" w:type="dxa"/>
          </w:tcPr>
          <w:p w14:paraId="2C2C979C" w14:textId="49A77BBE" w:rsidR="006D5CC8" w:rsidRPr="00C1008C" w:rsidRDefault="006D5CC8" w:rsidP="00906EA2">
            <w:pPr>
              <w:spacing w:before="120" w:after="120"/>
              <w:rPr>
                <w:rFonts w:ascii="Times New Roman" w:hAnsi="Times New Roman" w:cs="Times New Roman"/>
              </w:rPr>
            </w:pPr>
            <w:r w:rsidRPr="00C1008C">
              <w:rPr>
                <w:rFonts w:ascii="Times New Roman" w:hAnsi="Times New Roman" w:cs="Times New Roman"/>
              </w:rPr>
              <w:t xml:space="preserve">The Heritage Foundation </w:t>
            </w:r>
          </w:p>
          <w:p w14:paraId="45C10973" w14:textId="6B2CE02E" w:rsidR="006D5CC8" w:rsidRPr="00C1008C" w:rsidRDefault="006D5CC8" w:rsidP="00906EA2">
            <w:pPr>
              <w:spacing w:before="120" w:after="120"/>
              <w:jc w:val="both"/>
              <w:rPr>
                <w:rFonts w:ascii="Times New Roman" w:hAnsi="Times New Roman" w:cs="Times New Roman"/>
              </w:rPr>
            </w:pPr>
          </w:p>
        </w:tc>
      </w:tr>
      <w:tr w:rsidR="006D5CC8" w:rsidRPr="00C1008C" w14:paraId="062AB92D" w14:textId="77777777" w:rsidTr="00906EA2">
        <w:trPr>
          <w:trHeight w:val="458"/>
        </w:trPr>
        <w:tc>
          <w:tcPr>
            <w:tcW w:w="1255" w:type="dxa"/>
          </w:tcPr>
          <w:p w14:paraId="68C48F55" w14:textId="1BD74F4E" w:rsidR="00C1008C" w:rsidRPr="00C1008C" w:rsidRDefault="006D5CC8" w:rsidP="00906EA2">
            <w:pPr>
              <w:spacing w:before="120" w:after="120"/>
              <w:jc w:val="both"/>
              <w:rPr>
                <w:rFonts w:ascii="Times New Roman" w:hAnsi="Times New Roman" w:cs="Times New Roman"/>
              </w:rPr>
            </w:pPr>
            <w:r w:rsidRPr="00C1008C">
              <w:rPr>
                <w:rFonts w:ascii="Times New Roman" w:hAnsi="Times New Roman" w:cs="Times New Roman"/>
              </w:rPr>
              <w:t>INFL</w:t>
            </w:r>
          </w:p>
        </w:tc>
        <w:tc>
          <w:tcPr>
            <w:tcW w:w="6570" w:type="dxa"/>
          </w:tcPr>
          <w:p w14:paraId="57BB8E83" w14:textId="508C0749" w:rsidR="00C1008C" w:rsidRPr="00C1008C" w:rsidRDefault="00D177F5" w:rsidP="00906EA2">
            <w:pPr>
              <w:spacing w:before="120" w:after="120"/>
              <w:jc w:val="both"/>
              <w:rPr>
                <w:rFonts w:ascii="Times New Roman" w:hAnsi="Times New Roman" w:cs="Times New Roman"/>
              </w:rPr>
            </w:pPr>
            <w:proofErr w:type="spellStart"/>
            <w:r w:rsidRPr="00C1008C">
              <w:rPr>
                <w:rFonts w:ascii="Times New Roman" w:hAnsi="Times New Roman" w:cs="Times New Roman"/>
              </w:rPr>
              <w:t>Tỷ</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lệ</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lạm</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phát</w:t>
            </w:r>
            <w:proofErr w:type="spellEnd"/>
            <w:r w:rsidRPr="00C1008C">
              <w:rPr>
                <w:rFonts w:ascii="Times New Roman" w:hAnsi="Times New Roman" w:cs="Times New Roman"/>
              </w:rPr>
              <w:t xml:space="preserve"> </w:t>
            </w:r>
            <w:proofErr w:type="spellStart"/>
            <w:r w:rsidR="00C75B9B" w:rsidRPr="00C1008C">
              <w:rPr>
                <w:rFonts w:ascii="Times New Roman" w:hAnsi="Times New Roman" w:cs="Times New Roman"/>
              </w:rPr>
              <w:t>hàng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năm</w:t>
            </w:r>
            <w:proofErr w:type="spellEnd"/>
          </w:p>
        </w:tc>
        <w:tc>
          <w:tcPr>
            <w:tcW w:w="1751" w:type="dxa"/>
          </w:tcPr>
          <w:p w14:paraId="16A2FF59" w14:textId="5011A8F8" w:rsidR="00C1008C" w:rsidRPr="00C1008C" w:rsidRDefault="006D5CC8" w:rsidP="00906EA2">
            <w:pPr>
              <w:spacing w:before="120" w:after="120"/>
              <w:rPr>
                <w:rFonts w:ascii="Times New Roman" w:hAnsi="Times New Roman" w:cs="Times New Roman"/>
              </w:rPr>
            </w:pPr>
            <w:r w:rsidRPr="00C1008C">
              <w:rPr>
                <w:rFonts w:ascii="Times New Roman" w:hAnsi="Times New Roman" w:cs="Times New Roman"/>
              </w:rPr>
              <w:t>IMF</w:t>
            </w:r>
          </w:p>
        </w:tc>
      </w:tr>
      <w:tr w:rsidR="006D5CC8" w:rsidRPr="00C1008C" w14:paraId="17611435" w14:textId="77777777" w:rsidTr="00906EA2">
        <w:trPr>
          <w:trHeight w:val="521"/>
        </w:trPr>
        <w:tc>
          <w:tcPr>
            <w:tcW w:w="1255" w:type="dxa"/>
          </w:tcPr>
          <w:p w14:paraId="300E9D89" w14:textId="398249D6" w:rsidR="006D5CC8" w:rsidRPr="00C1008C" w:rsidRDefault="006D5CC8" w:rsidP="00906EA2">
            <w:pPr>
              <w:spacing w:before="120" w:after="120"/>
              <w:jc w:val="both"/>
              <w:rPr>
                <w:rFonts w:ascii="Times New Roman" w:hAnsi="Times New Roman" w:cs="Times New Roman"/>
              </w:rPr>
            </w:pPr>
            <w:r w:rsidRPr="00C1008C">
              <w:rPr>
                <w:rFonts w:ascii="Times New Roman" w:hAnsi="Times New Roman" w:cs="Times New Roman"/>
              </w:rPr>
              <w:t>GDP</w:t>
            </w:r>
          </w:p>
        </w:tc>
        <w:tc>
          <w:tcPr>
            <w:tcW w:w="6570" w:type="dxa"/>
          </w:tcPr>
          <w:p w14:paraId="3BBE4E5C" w14:textId="043624DF" w:rsidR="006D5CC8" w:rsidRPr="00C1008C" w:rsidRDefault="00D177F5" w:rsidP="00906EA2">
            <w:pPr>
              <w:spacing w:before="120" w:after="120"/>
              <w:jc w:val="both"/>
              <w:rPr>
                <w:rFonts w:ascii="Times New Roman" w:hAnsi="Times New Roman" w:cs="Times New Roman"/>
              </w:rPr>
            </w:pPr>
            <w:proofErr w:type="spellStart"/>
            <w:r w:rsidRPr="00C1008C">
              <w:rPr>
                <w:rFonts w:ascii="Times New Roman" w:hAnsi="Times New Roman" w:cs="Times New Roman"/>
              </w:rPr>
              <w:t>Tốc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độ</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tăng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trưởng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tổng</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sản</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phầm</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quốc</w:t>
            </w:r>
            <w:proofErr w:type="spellEnd"/>
            <w:r w:rsidRPr="00C1008C">
              <w:rPr>
                <w:rFonts w:ascii="Times New Roman" w:hAnsi="Times New Roman" w:cs="Times New Roman"/>
              </w:rPr>
              <w:t xml:space="preserve"> </w:t>
            </w:r>
            <w:proofErr w:type="spellStart"/>
            <w:r w:rsidRPr="00C1008C">
              <w:rPr>
                <w:rFonts w:ascii="Times New Roman" w:hAnsi="Times New Roman" w:cs="Times New Roman"/>
              </w:rPr>
              <w:t>nội</w:t>
            </w:r>
            <w:proofErr w:type="spellEnd"/>
            <w:r w:rsidR="006D5CC8" w:rsidRPr="00C1008C">
              <w:rPr>
                <w:rFonts w:ascii="Times New Roman" w:hAnsi="Times New Roman" w:cs="Times New Roman"/>
              </w:rPr>
              <w:t xml:space="preserve"> </w:t>
            </w:r>
            <w:r w:rsidRPr="00C1008C">
              <w:rPr>
                <w:rFonts w:ascii="Times New Roman" w:hAnsi="Times New Roman" w:cs="Times New Roman"/>
              </w:rPr>
              <w:t>(</w:t>
            </w:r>
            <w:r w:rsidR="006D5CC8" w:rsidRPr="00C1008C">
              <w:rPr>
                <w:rFonts w:ascii="Times New Roman" w:hAnsi="Times New Roman" w:cs="Times New Roman"/>
              </w:rPr>
              <w:t>GDP</w:t>
            </w:r>
            <w:r w:rsidRPr="00C1008C">
              <w:rPr>
                <w:rFonts w:ascii="Times New Roman" w:hAnsi="Times New Roman" w:cs="Times New Roman"/>
              </w:rPr>
              <w:t>)</w:t>
            </w:r>
          </w:p>
        </w:tc>
        <w:tc>
          <w:tcPr>
            <w:tcW w:w="1751" w:type="dxa"/>
          </w:tcPr>
          <w:p w14:paraId="03BD7C95" w14:textId="7736B028" w:rsidR="006D5CC8" w:rsidRPr="00C1008C" w:rsidRDefault="006D5CC8" w:rsidP="00906EA2">
            <w:pPr>
              <w:spacing w:before="120" w:after="120"/>
              <w:jc w:val="both"/>
              <w:rPr>
                <w:rFonts w:ascii="Times New Roman" w:hAnsi="Times New Roman" w:cs="Times New Roman"/>
              </w:rPr>
            </w:pPr>
            <w:r w:rsidRPr="00C1008C">
              <w:rPr>
                <w:rFonts w:ascii="Times New Roman" w:eastAsiaTheme="majorEastAsia" w:hAnsi="Times New Roman" w:cs="Times New Roman"/>
                <w:bCs/>
                <w:iCs/>
              </w:rPr>
              <w:t xml:space="preserve">World </w:t>
            </w:r>
            <w:r w:rsidR="00C1008C">
              <w:rPr>
                <w:rFonts w:ascii="Times New Roman" w:eastAsiaTheme="majorEastAsia" w:hAnsi="Times New Roman" w:cs="Times New Roman"/>
                <w:bCs/>
                <w:iCs/>
              </w:rPr>
              <w:t>bank</w:t>
            </w:r>
          </w:p>
        </w:tc>
      </w:tr>
      <w:tr w:rsidR="006D5CC8" w:rsidRPr="00C1008C" w14:paraId="435F7F45" w14:textId="77777777" w:rsidTr="00906EA2">
        <w:trPr>
          <w:trHeight w:val="440"/>
        </w:trPr>
        <w:tc>
          <w:tcPr>
            <w:tcW w:w="1255" w:type="dxa"/>
          </w:tcPr>
          <w:p w14:paraId="0250F1F3" w14:textId="77777777" w:rsidR="006D5CC8" w:rsidRPr="00C1008C" w:rsidRDefault="006D5CC8" w:rsidP="00906EA2">
            <w:pPr>
              <w:spacing w:before="120" w:after="120"/>
              <w:jc w:val="both"/>
              <w:rPr>
                <w:rFonts w:ascii="Times New Roman" w:eastAsiaTheme="majorEastAsia" w:hAnsi="Times New Roman" w:cs="Times New Roman"/>
                <w:bCs/>
                <w:iCs/>
              </w:rPr>
            </w:pPr>
            <w:r w:rsidRPr="00C1008C">
              <w:rPr>
                <w:rFonts w:ascii="Times New Roman" w:eastAsiaTheme="majorEastAsia" w:hAnsi="Times New Roman" w:cs="Times New Roman"/>
                <w:bCs/>
                <w:iCs/>
              </w:rPr>
              <w:t>Gender equality at work (</w:t>
            </w:r>
            <w:proofErr w:type="spellStart"/>
            <w:r w:rsidRPr="00C1008C">
              <w:rPr>
                <w:rFonts w:ascii="Times New Roman" w:eastAsiaTheme="majorEastAsia" w:hAnsi="Times New Roman" w:cs="Times New Roman"/>
                <w:bCs/>
                <w:i/>
                <w:iCs/>
              </w:rPr>
              <w:t>EPOlow</w:t>
            </w:r>
            <w:proofErr w:type="spellEnd"/>
            <w:r w:rsidRPr="00C1008C">
              <w:rPr>
                <w:rFonts w:ascii="Times New Roman" w:eastAsiaTheme="majorEastAsia" w:hAnsi="Times New Roman" w:cs="Times New Roman"/>
                <w:bCs/>
                <w:iCs/>
              </w:rPr>
              <w:t>)</w:t>
            </w:r>
          </w:p>
        </w:tc>
        <w:tc>
          <w:tcPr>
            <w:tcW w:w="6570" w:type="dxa"/>
          </w:tcPr>
          <w:p w14:paraId="765EAFB2" w14:textId="02B6CE49" w:rsidR="006D5CC8" w:rsidRPr="00C1008C" w:rsidRDefault="006D5CC8" w:rsidP="00906EA2">
            <w:pPr>
              <w:spacing w:before="120" w:after="120"/>
              <w:jc w:val="both"/>
              <w:rPr>
                <w:rFonts w:ascii="Times New Roman" w:eastAsiaTheme="majorEastAsia" w:hAnsi="Times New Roman" w:cs="Times New Roman"/>
                <w:bCs/>
                <w:iCs/>
              </w:rPr>
            </w:pPr>
            <w:proofErr w:type="spellStart"/>
            <w:r w:rsidRPr="00C1008C">
              <w:rPr>
                <w:rFonts w:ascii="Times New Roman" w:hAnsi="Times New Roman" w:cs="Times New Roman"/>
                <w:i/>
              </w:rPr>
              <w:t>EPOlow</w:t>
            </w:r>
            <w:proofErr w:type="spellEnd"/>
            <w:r w:rsidRPr="00C1008C">
              <w:rPr>
                <w:rFonts w:ascii="Times New Roman" w:hAnsi="Times New Roman" w:cs="Times New Roman"/>
              </w:rPr>
              <w:t xml:space="preserve"> </w:t>
            </w:r>
            <w:proofErr w:type="spellStart"/>
            <w:r w:rsidR="00D177F5" w:rsidRPr="00C1008C">
              <w:rPr>
                <w:rFonts w:ascii="Times New Roman" w:hAnsi="Times New Roman" w:cs="Times New Roman"/>
              </w:rPr>
              <w:t>là</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biến</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giả</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thể</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hiện</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thái</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độ</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của</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xã</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hội</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đối</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với</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phụ</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nữ</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Nó</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nhận</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giá</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trị</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bằng</w:t>
            </w:r>
            <w:proofErr w:type="spellEnd"/>
            <w:r w:rsidR="00D177F5" w:rsidRPr="00C1008C">
              <w:rPr>
                <w:rFonts w:ascii="Times New Roman" w:hAnsi="Times New Roman" w:cs="Times New Roman"/>
              </w:rPr>
              <w:t xml:space="preserve"> 1 </w:t>
            </w:r>
            <w:proofErr w:type="spellStart"/>
            <w:r w:rsidR="00D177F5" w:rsidRPr="00C1008C">
              <w:rPr>
                <w:rFonts w:ascii="Times New Roman" w:hAnsi="Times New Roman" w:cs="Times New Roman"/>
              </w:rPr>
              <w:t>nếu</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chỉ</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số</w:t>
            </w:r>
            <w:proofErr w:type="spellEnd"/>
            <w:r w:rsidR="00D177F5" w:rsidRPr="00C1008C">
              <w:rPr>
                <w:rFonts w:ascii="Times New Roman" w:hAnsi="Times New Roman" w:cs="Times New Roman"/>
              </w:rPr>
              <w:t xml:space="preserve"> EPO </w:t>
            </w:r>
            <w:proofErr w:type="spellStart"/>
            <w:r w:rsidR="00D177F5" w:rsidRPr="00C1008C">
              <w:rPr>
                <w:rFonts w:ascii="Times New Roman" w:hAnsi="Times New Roman" w:cs="Times New Roman"/>
              </w:rPr>
              <w:t>thấp</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hơn</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giá</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trị</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trung</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bình</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của</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thế</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giới</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và</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bằng</w:t>
            </w:r>
            <w:proofErr w:type="spellEnd"/>
            <w:r w:rsidR="00D177F5" w:rsidRPr="00C1008C">
              <w:rPr>
                <w:rFonts w:ascii="Times New Roman" w:hAnsi="Times New Roman" w:cs="Times New Roman"/>
              </w:rPr>
              <w:t xml:space="preserve"> 0 </w:t>
            </w:r>
            <w:proofErr w:type="spellStart"/>
            <w:r w:rsidR="00D177F5" w:rsidRPr="00C1008C">
              <w:rPr>
                <w:rFonts w:ascii="Times New Roman" w:hAnsi="Times New Roman" w:cs="Times New Roman"/>
              </w:rPr>
              <w:t>trong</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trường</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hợp</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ngược</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lại</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Chỉ</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số</w:t>
            </w:r>
            <w:proofErr w:type="spellEnd"/>
            <w:r w:rsidR="00D177F5" w:rsidRPr="00C1008C">
              <w:rPr>
                <w:rFonts w:ascii="Times New Roman" w:hAnsi="Times New Roman" w:cs="Times New Roman"/>
              </w:rPr>
              <w:t xml:space="preserve"> EPO </w:t>
            </w:r>
            <w:proofErr w:type="spellStart"/>
            <w:r w:rsidR="00D177F5" w:rsidRPr="00C1008C">
              <w:rPr>
                <w:rFonts w:ascii="Times New Roman" w:hAnsi="Times New Roman" w:cs="Times New Roman"/>
              </w:rPr>
              <w:t>được</w:t>
            </w:r>
            <w:proofErr w:type="spellEnd"/>
            <w:r w:rsidR="00D177F5" w:rsidRPr="00C1008C">
              <w:rPr>
                <w:rFonts w:ascii="Times New Roman" w:hAnsi="Times New Roman" w:cs="Times New Roman"/>
              </w:rPr>
              <w:t xml:space="preserve"> WEF </w:t>
            </w:r>
            <w:proofErr w:type="spellStart"/>
            <w:r w:rsidR="00D177F5" w:rsidRPr="00C1008C">
              <w:rPr>
                <w:rFonts w:ascii="Times New Roman" w:hAnsi="Times New Roman" w:cs="Times New Roman"/>
              </w:rPr>
              <w:t>báo</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cáo</w:t>
            </w:r>
            <w:proofErr w:type="spellEnd"/>
            <w:r w:rsidR="00D177F5" w:rsidRPr="00C1008C">
              <w:rPr>
                <w:rFonts w:ascii="Times New Roman" w:hAnsi="Times New Roman" w:cs="Times New Roman"/>
              </w:rPr>
              <w:t xml:space="preserve"> </w:t>
            </w:r>
            <w:proofErr w:type="spellStart"/>
            <w:r w:rsidR="00C75B9B" w:rsidRPr="00C1008C">
              <w:rPr>
                <w:rFonts w:ascii="Times New Roman" w:hAnsi="Times New Roman" w:cs="Times New Roman"/>
              </w:rPr>
              <w:t>hàng</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năm</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và</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phản</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ánh</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khoảng</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cách</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giới</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trong</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việc</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tham</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gia</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lực</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lượng</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lao</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động</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thù</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lao</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và</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thăng</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tiến</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nghề</w:t>
            </w:r>
            <w:proofErr w:type="spellEnd"/>
            <w:r w:rsidR="00D177F5" w:rsidRPr="00C1008C">
              <w:rPr>
                <w:rFonts w:ascii="Times New Roman" w:hAnsi="Times New Roman" w:cs="Times New Roman"/>
              </w:rPr>
              <w:t xml:space="preserve"> </w:t>
            </w:r>
            <w:proofErr w:type="spellStart"/>
            <w:r w:rsidR="00D177F5" w:rsidRPr="00C1008C">
              <w:rPr>
                <w:rFonts w:ascii="Times New Roman" w:hAnsi="Times New Roman" w:cs="Times New Roman"/>
              </w:rPr>
              <w:t>nghiệp</w:t>
            </w:r>
            <w:proofErr w:type="spellEnd"/>
            <w:r w:rsidR="00D177F5" w:rsidRPr="00C1008C">
              <w:rPr>
                <w:rFonts w:ascii="Times New Roman" w:hAnsi="Times New Roman" w:cs="Times New Roman"/>
              </w:rPr>
              <w:t>.</w:t>
            </w:r>
          </w:p>
        </w:tc>
        <w:tc>
          <w:tcPr>
            <w:tcW w:w="1751" w:type="dxa"/>
          </w:tcPr>
          <w:p w14:paraId="29873741" w14:textId="59D6F766" w:rsidR="006D5CC8" w:rsidRPr="00C1008C" w:rsidRDefault="006D5CC8" w:rsidP="00906EA2">
            <w:pPr>
              <w:spacing w:before="120" w:after="120"/>
              <w:rPr>
                <w:rFonts w:ascii="Times New Roman" w:eastAsiaTheme="majorEastAsia" w:hAnsi="Times New Roman" w:cs="Times New Roman"/>
                <w:bCs/>
                <w:iCs/>
              </w:rPr>
            </w:pPr>
            <w:r w:rsidRPr="00C1008C">
              <w:rPr>
                <w:rFonts w:ascii="Times New Roman" w:eastAsiaTheme="majorEastAsia" w:hAnsi="Times New Roman" w:cs="Times New Roman"/>
                <w:bCs/>
                <w:iCs/>
              </w:rPr>
              <w:t xml:space="preserve">World </w:t>
            </w:r>
            <w:proofErr w:type="spellStart"/>
            <w:r w:rsidRPr="00C1008C">
              <w:rPr>
                <w:rFonts w:ascii="Times New Roman" w:eastAsiaTheme="majorEastAsia" w:hAnsi="Times New Roman" w:cs="Times New Roman"/>
                <w:bCs/>
                <w:iCs/>
              </w:rPr>
              <w:t>Economics</w:t>
            </w:r>
            <w:proofErr w:type="spellEnd"/>
            <w:r w:rsidRPr="00C1008C">
              <w:rPr>
                <w:rFonts w:ascii="Times New Roman" w:eastAsiaTheme="majorEastAsia" w:hAnsi="Times New Roman" w:cs="Times New Roman"/>
                <w:bCs/>
                <w:iCs/>
              </w:rPr>
              <w:t xml:space="preserve"> Forum</w:t>
            </w:r>
          </w:p>
        </w:tc>
      </w:tr>
    </w:tbl>
    <w:p w14:paraId="383B2EC7" w14:textId="375E90A2" w:rsidR="00D517B2" w:rsidRPr="00C1008C" w:rsidRDefault="00584F74" w:rsidP="008218C1">
      <w:pPr>
        <w:spacing w:before="120" w:after="0" w:line="312" w:lineRule="auto"/>
        <w:jc w:val="both"/>
        <w:rPr>
          <w:rFonts w:ascii="Times New Roman" w:hAnsi="Times New Roman" w:cs="Times New Roman"/>
          <w:i/>
          <w:iCs/>
          <w:sz w:val="24"/>
          <w:szCs w:val="24"/>
        </w:rPr>
      </w:pPr>
      <w:proofErr w:type="spellStart"/>
      <w:r w:rsidRPr="00C1008C">
        <w:rPr>
          <w:rFonts w:ascii="Times New Roman" w:hAnsi="Times New Roman" w:cs="Times New Roman"/>
          <w:i/>
          <w:iCs/>
          <w:sz w:val="24"/>
          <w:szCs w:val="24"/>
        </w:rPr>
        <w:t>Bảng</w:t>
      </w:r>
      <w:proofErr w:type="spellEnd"/>
      <w:r w:rsidRPr="00C1008C">
        <w:rPr>
          <w:rFonts w:ascii="Times New Roman" w:hAnsi="Times New Roman" w:cs="Times New Roman"/>
          <w:i/>
          <w:iCs/>
          <w:sz w:val="24"/>
          <w:szCs w:val="24"/>
        </w:rPr>
        <w:t xml:space="preserve"> 2: So </w:t>
      </w:r>
      <w:proofErr w:type="spellStart"/>
      <w:r w:rsidRPr="00C1008C">
        <w:rPr>
          <w:rFonts w:ascii="Times New Roman" w:hAnsi="Times New Roman" w:cs="Times New Roman"/>
          <w:i/>
          <w:iCs/>
          <w:sz w:val="24"/>
          <w:szCs w:val="24"/>
        </w:rPr>
        <w:t>sánh</w:t>
      </w:r>
      <w:proofErr w:type="spellEnd"/>
      <w:r w:rsidRPr="00C1008C">
        <w:rPr>
          <w:rFonts w:ascii="Times New Roman" w:hAnsi="Times New Roman" w:cs="Times New Roman"/>
          <w:i/>
          <w:iCs/>
          <w:sz w:val="24"/>
          <w:szCs w:val="24"/>
        </w:rPr>
        <w:t xml:space="preserve"> </w:t>
      </w:r>
      <w:proofErr w:type="spellStart"/>
      <w:r w:rsidRPr="00C1008C">
        <w:rPr>
          <w:rFonts w:ascii="Times New Roman" w:hAnsi="Times New Roman" w:cs="Times New Roman"/>
          <w:i/>
          <w:iCs/>
          <w:sz w:val="24"/>
          <w:szCs w:val="24"/>
        </w:rPr>
        <w:t>số</w:t>
      </w:r>
      <w:proofErr w:type="spellEnd"/>
      <w:r w:rsidRPr="00C1008C">
        <w:rPr>
          <w:rFonts w:ascii="Times New Roman" w:hAnsi="Times New Roman" w:cs="Times New Roman"/>
          <w:i/>
          <w:iCs/>
          <w:sz w:val="24"/>
          <w:szCs w:val="24"/>
        </w:rPr>
        <w:t xml:space="preserve"> </w:t>
      </w:r>
      <w:proofErr w:type="spellStart"/>
      <w:r w:rsidRPr="00C1008C">
        <w:rPr>
          <w:rFonts w:ascii="Times New Roman" w:hAnsi="Times New Roman" w:cs="Times New Roman"/>
          <w:i/>
          <w:iCs/>
          <w:sz w:val="24"/>
          <w:szCs w:val="24"/>
        </w:rPr>
        <w:t>liệu</w:t>
      </w:r>
      <w:proofErr w:type="spellEnd"/>
      <w:r w:rsidRPr="00C1008C">
        <w:rPr>
          <w:rFonts w:ascii="Times New Roman" w:hAnsi="Times New Roman" w:cs="Times New Roman"/>
          <w:i/>
          <w:iCs/>
          <w:sz w:val="24"/>
          <w:szCs w:val="24"/>
        </w:rPr>
        <w:t xml:space="preserve"> </w:t>
      </w:r>
      <w:proofErr w:type="spellStart"/>
      <w:r w:rsidRPr="00C1008C">
        <w:rPr>
          <w:rFonts w:ascii="Times New Roman" w:hAnsi="Times New Roman" w:cs="Times New Roman"/>
          <w:i/>
          <w:iCs/>
          <w:sz w:val="24"/>
          <w:szCs w:val="24"/>
        </w:rPr>
        <w:t>thống</w:t>
      </w:r>
      <w:proofErr w:type="spellEnd"/>
      <w:r w:rsidRPr="00C1008C">
        <w:rPr>
          <w:rFonts w:ascii="Times New Roman" w:hAnsi="Times New Roman" w:cs="Times New Roman"/>
          <w:i/>
          <w:iCs/>
          <w:sz w:val="24"/>
          <w:szCs w:val="24"/>
        </w:rPr>
        <w:t xml:space="preserve"> </w:t>
      </w:r>
      <w:proofErr w:type="spellStart"/>
      <w:r w:rsidRPr="00C1008C">
        <w:rPr>
          <w:rFonts w:ascii="Times New Roman" w:hAnsi="Times New Roman" w:cs="Times New Roman"/>
          <w:i/>
          <w:iCs/>
          <w:sz w:val="24"/>
          <w:szCs w:val="24"/>
        </w:rPr>
        <w:t>kế</w:t>
      </w:r>
      <w:proofErr w:type="spellEnd"/>
      <w:r w:rsidRPr="00C1008C">
        <w:rPr>
          <w:rFonts w:ascii="Times New Roman" w:hAnsi="Times New Roman" w:cs="Times New Roman"/>
          <w:i/>
          <w:iCs/>
          <w:sz w:val="24"/>
          <w:szCs w:val="24"/>
        </w:rPr>
        <w:t xml:space="preserve"> </w:t>
      </w:r>
      <w:proofErr w:type="spellStart"/>
      <w:r w:rsidRPr="00C1008C">
        <w:rPr>
          <w:rFonts w:ascii="Times New Roman" w:hAnsi="Times New Roman" w:cs="Times New Roman"/>
          <w:i/>
          <w:iCs/>
          <w:sz w:val="24"/>
          <w:szCs w:val="24"/>
        </w:rPr>
        <w:t>giữa</w:t>
      </w:r>
      <w:proofErr w:type="spellEnd"/>
      <w:r w:rsidRPr="00C1008C">
        <w:rPr>
          <w:rFonts w:ascii="Times New Roman" w:hAnsi="Times New Roman" w:cs="Times New Roman"/>
          <w:i/>
          <w:iCs/>
          <w:sz w:val="24"/>
          <w:szCs w:val="24"/>
        </w:rPr>
        <w:t xml:space="preserve"> </w:t>
      </w:r>
      <w:proofErr w:type="spellStart"/>
      <w:r w:rsidRPr="00C1008C">
        <w:rPr>
          <w:rFonts w:ascii="Times New Roman" w:hAnsi="Times New Roman" w:cs="Times New Roman"/>
          <w:i/>
          <w:iCs/>
          <w:sz w:val="24"/>
          <w:szCs w:val="24"/>
        </w:rPr>
        <w:t>các</w:t>
      </w:r>
      <w:proofErr w:type="spellEnd"/>
      <w:r w:rsidRPr="00C1008C">
        <w:rPr>
          <w:rFonts w:ascii="Times New Roman" w:hAnsi="Times New Roman" w:cs="Times New Roman"/>
          <w:i/>
          <w:iCs/>
          <w:sz w:val="24"/>
          <w:szCs w:val="24"/>
        </w:rPr>
        <w:t xml:space="preserve"> </w:t>
      </w:r>
      <w:proofErr w:type="spellStart"/>
      <w:r w:rsidRPr="00C1008C">
        <w:rPr>
          <w:rFonts w:ascii="Times New Roman" w:hAnsi="Times New Roman" w:cs="Times New Roman"/>
          <w:i/>
          <w:iCs/>
          <w:sz w:val="24"/>
          <w:szCs w:val="24"/>
        </w:rPr>
        <w:t>quốc</w:t>
      </w:r>
      <w:proofErr w:type="spellEnd"/>
      <w:r w:rsidRPr="00C1008C">
        <w:rPr>
          <w:rFonts w:ascii="Times New Roman" w:hAnsi="Times New Roman" w:cs="Times New Roman"/>
          <w:i/>
          <w:iCs/>
          <w:sz w:val="24"/>
          <w:szCs w:val="24"/>
        </w:rPr>
        <w:t xml:space="preserve"> </w:t>
      </w:r>
      <w:proofErr w:type="spellStart"/>
      <w:r w:rsidRPr="00C1008C">
        <w:rPr>
          <w:rFonts w:ascii="Times New Roman" w:hAnsi="Times New Roman" w:cs="Times New Roman"/>
          <w:i/>
          <w:iCs/>
          <w:sz w:val="24"/>
          <w:szCs w:val="24"/>
        </w:rPr>
        <w:t>gia</w:t>
      </w:r>
      <w:proofErr w:type="spellEnd"/>
      <w:r w:rsidRPr="00C1008C">
        <w:rPr>
          <w:rFonts w:ascii="Times New Roman" w:hAnsi="Times New Roman" w:cs="Times New Roman"/>
          <w:i/>
          <w:iCs/>
          <w:sz w:val="24"/>
          <w:szCs w:val="24"/>
        </w:rPr>
        <w:t xml:space="preserve"> </w:t>
      </w:r>
      <w:proofErr w:type="spellStart"/>
      <w:r w:rsidRPr="00C1008C">
        <w:rPr>
          <w:rFonts w:ascii="Times New Roman" w:hAnsi="Times New Roman" w:cs="Times New Roman"/>
          <w:i/>
          <w:iCs/>
          <w:sz w:val="24"/>
          <w:szCs w:val="24"/>
        </w:rPr>
        <w:t>phát</w:t>
      </w:r>
      <w:proofErr w:type="spellEnd"/>
      <w:r w:rsidRPr="00C1008C">
        <w:rPr>
          <w:rFonts w:ascii="Times New Roman" w:hAnsi="Times New Roman" w:cs="Times New Roman"/>
          <w:i/>
          <w:iCs/>
          <w:sz w:val="24"/>
          <w:szCs w:val="24"/>
        </w:rPr>
        <w:t xml:space="preserve"> </w:t>
      </w:r>
      <w:proofErr w:type="spellStart"/>
      <w:r w:rsidRPr="00C1008C">
        <w:rPr>
          <w:rFonts w:ascii="Times New Roman" w:hAnsi="Times New Roman" w:cs="Times New Roman"/>
          <w:i/>
          <w:iCs/>
          <w:sz w:val="24"/>
          <w:szCs w:val="24"/>
        </w:rPr>
        <w:t>triển</w:t>
      </w:r>
      <w:proofErr w:type="spellEnd"/>
      <w:r w:rsidRPr="00C1008C">
        <w:rPr>
          <w:rFonts w:ascii="Times New Roman" w:hAnsi="Times New Roman" w:cs="Times New Roman"/>
          <w:i/>
          <w:iCs/>
          <w:sz w:val="24"/>
          <w:szCs w:val="24"/>
        </w:rPr>
        <w:t xml:space="preserve"> </w:t>
      </w:r>
      <w:proofErr w:type="spellStart"/>
      <w:r w:rsidRPr="00C1008C">
        <w:rPr>
          <w:rFonts w:ascii="Times New Roman" w:hAnsi="Times New Roman" w:cs="Times New Roman"/>
          <w:i/>
          <w:iCs/>
          <w:sz w:val="24"/>
          <w:szCs w:val="24"/>
        </w:rPr>
        <w:t>và</w:t>
      </w:r>
      <w:proofErr w:type="spellEnd"/>
      <w:r w:rsidRPr="00C1008C">
        <w:rPr>
          <w:rFonts w:ascii="Times New Roman" w:hAnsi="Times New Roman" w:cs="Times New Roman"/>
          <w:i/>
          <w:iCs/>
          <w:sz w:val="24"/>
          <w:szCs w:val="24"/>
        </w:rPr>
        <w:t xml:space="preserve"> </w:t>
      </w:r>
      <w:proofErr w:type="spellStart"/>
      <w:r w:rsidRPr="00C1008C">
        <w:rPr>
          <w:rFonts w:ascii="Times New Roman" w:hAnsi="Times New Roman" w:cs="Times New Roman"/>
          <w:i/>
          <w:iCs/>
          <w:sz w:val="24"/>
          <w:szCs w:val="24"/>
        </w:rPr>
        <w:t>đang</w:t>
      </w:r>
      <w:proofErr w:type="spellEnd"/>
      <w:r w:rsidRPr="00C1008C">
        <w:rPr>
          <w:rFonts w:ascii="Times New Roman" w:hAnsi="Times New Roman" w:cs="Times New Roman"/>
          <w:i/>
          <w:iCs/>
          <w:sz w:val="24"/>
          <w:szCs w:val="24"/>
        </w:rPr>
        <w:t xml:space="preserve"> </w:t>
      </w:r>
      <w:proofErr w:type="spellStart"/>
      <w:r w:rsidRPr="00C1008C">
        <w:rPr>
          <w:rFonts w:ascii="Times New Roman" w:hAnsi="Times New Roman" w:cs="Times New Roman"/>
          <w:i/>
          <w:iCs/>
          <w:sz w:val="24"/>
          <w:szCs w:val="24"/>
        </w:rPr>
        <w:t>phát</w:t>
      </w:r>
      <w:proofErr w:type="spellEnd"/>
      <w:r w:rsidRPr="00C1008C">
        <w:rPr>
          <w:rFonts w:ascii="Times New Roman" w:hAnsi="Times New Roman" w:cs="Times New Roman"/>
          <w:i/>
          <w:iCs/>
          <w:sz w:val="24"/>
          <w:szCs w:val="24"/>
        </w:rPr>
        <w:t xml:space="preserve"> </w:t>
      </w:r>
      <w:proofErr w:type="spellStart"/>
      <w:r w:rsidRPr="00C1008C">
        <w:rPr>
          <w:rFonts w:ascii="Times New Roman" w:hAnsi="Times New Roman" w:cs="Times New Roman"/>
          <w:i/>
          <w:iCs/>
          <w:sz w:val="24"/>
          <w:szCs w:val="24"/>
        </w:rPr>
        <w:t>triển</w:t>
      </w:r>
      <w:proofErr w:type="spellEnd"/>
    </w:p>
    <w:tbl>
      <w:tblPr>
        <w:tblW w:w="9812" w:type="dxa"/>
        <w:tblInd w:w="-334" w:type="dxa"/>
        <w:tblLook w:val="04A0" w:firstRow="1" w:lastRow="0" w:firstColumn="1" w:lastColumn="0" w:noHBand="0" w:noVBand="1"/>
      </w:tblPr>
      <w:tblGrid>
        <w:gridCol w:w="2076"/>
        <w:gridCol w:w="985"/>
        <w:gridCol w:w="1083"/>
        <w:gridCol w:w="1264"/>
        <w:gridCol w:w="993"/>
        <w:gridCol w:w="993"/>
        <w:gridCol w:w="90"/>
        <w:gridCol w:w="1083"/>
        <w:gridCol w:w="1245"/>
      </w:tblGrid>
      <w:tr w:rsidR="00D517B2" w:rsidRPr="00C1008C" w14:paraId="7340DBC2" w14:textId="77777777" w:rsidTr="00D517B2">
        <w:trPr>
          <w:trHeight w:val="393"/>
        </w:trPr>
        <w:tc>
          <w:tcPr>
            <w:tcW w:w="2076" w:type="dxa"/>
            <w:tcBorders>
              <w:top w:val="single" w:sz="4" w:space="0" w:color="auto"/>
              <w:left w:val="nil"/>
              <w:bottom w:val="single" w:sz="4" w:space="0" w:color="auto"/>
              <w:right w:val="nil"/>
            </w:tcBorders>
            <w:shd w:val="clear" w:color="auto" w:fill="auto"/>
            <w:noWrap/>
            <w:vAlign w:val="bottom"/>
            <w:hideMark/>
          </w:tcPr>
          <w:p w14:paraId="67B8D4EE"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 </w:t>
            </w:r>
          </w:p>
        </w:tc>
        <w:tc>
          <w:tcPr>
            <w:tcW w:w="3332" w:type="dxa"/>
            <w:gridSpan w:val="3"/>
            <w:tcBorders>
              <w:top w:val="single" w:sz="4" w:space="0" w:color="auto"/>
              <w:left w:val="nil"/>
              <w:bottom w:val="single" w:sz="4" w:space="0" w:color="auto"/>
              <w:right w:val="nil"/>
            </w:tcBorders>
            <w:shd w:val="clear" w:color="auto" w:fill="auto"/>
            <w:noWrap/>
            <w:vAlign w:val="bottom"/>
            <w:hideMark/>
          </w:tcPr>
          <w:p w14:paraId="38CD9F74" w14:textId="7EB82425" w:rsidR="00D517B2" w:rsidRPr="00C1008C" w:rsidRDefault="00D042FA" w:rsidP="008218C1">
            <w:pPr>
              <w:spacing w:before="120" w:after="0" w:line="312" w:lineRule="auto"/>
              <w:jc w:val="both"/>
              <w:rPr>
                <w:rFonts w:ascii="Times New Roman" w:eastAsia="Times New Roman" w:hAnsi="Times New Roman" w:cs="Times New Roman"/>
                <w:color w:val="000000"/>
                <w:sz w:val="24"/>
                <w:szCs w:val="24"/>
              </w:rPr>
            </w:pPr>
            <w:proofErr w:type="spellStart"/>
            <w:r w:rsidRPr="00C1008C">
              <w:rPr>
                <w:rFonts w:ascii="Times New Roman" w:eastAsia="Times New Roman" w:hAnsi="Times New Roman" w:cs="Times New Roman"/>
                <w:color w:val="000000"/>
                <w:sz w:val="24"/>
                <w:szCs w:val="24"/>
              </w:rPr>
              <w:t>Nước</w:t>
            </w:r>
            <w:proofErr w:type="spellEnd"/>
            <w:r w:rsidRPr="00C1008C">
              <w:rPr>
                <w:rFonts w:ascii="Times New Roman" w:eastAsia="Times New Roman" w:hAnsi="Times New Roman" w:cs="Times New Roman"/>
                <w:color w:val="000000"/>
                <w:sz w:val="24"/>
                <w:szCs w:val="24"/>
              </w:rPr>
              <w:t xml:space="preserve"> </w:t>
            </w:r>
            <w:proofErr w:type="spellStart"/>
            <w:r w:rsidRPr="00C1008C">
              <w:rPr>
                <w:rFonts w:ascii="Times New Roman" w:eastAsia="Times New Roman" w:hAnsi="Times New Roman" w:cs="Times New Roman"/>
                <w:color w:val="000000"/>
                <w:sz w:val="24"/>
                <w:szCs w:val="24"/>
              </w:rPr>
              <w:t>phát</w:t>
            </w:r>
            <w:proofErr w:type="spellEnd"/>
            <w:r w:rsidRPr="00C1008C">
              <w:rPr>
                <w:rFonts w:ascii="Times New Roman" w:eastAsia="Times New Roman" w:hAnsi="Times New Roman" w:cs="Times New Roman"/>
                <w:color w:val="000000"/>
                <w:sz w:val="24"/>
                <w:szCs w:val="24"/>
              </w:rPr>
              <w:t xml:space="preserve"> </w:t>
            </w:r>
            <w:proofErr w:type="spellStart"/>
            <w:r w:rsidRPr="00C1008C">
              <w:rPr>
                <w:rFonts w:ascii="Times New Roman" w:eastAsia="Times New Roman" w:hAnsi="Times New Roman" w:cs="Times New Roman"/>
                <w:color w:val="000000"/>
                <w:sz w:val="24"/>
                <w:szCs w:val="24"/>
              </w:rPr>
              <w:t>triển</w:t>
            </w:r>
            <w:proofErr w:type="spellEnd"/>
          </w:p>
        </w:tc>
        <w:tc>
          <w:tcPr>
            <w:tcW w:w="3159" w:type="dxa"/>
            <w:gridSpan w:val="4"/>
            <w:tcBorders>
              <w:top w:val="single" w:sz="4" w:space="0" w:color="auto"/>
              <w:left w:val="nil"/>
              <w:bottom w:val="single" w:sz="4" w:space="0" w:color="auto"/>
              <w:right w:val="nil"/>
            </w:tcBorders>
            <w:shd w:val="clear" w:color="auto" w:fill="auto"/>
            <w:noWrap/>
            <w:vAlign w:val="bottom"/>
            <w:hideMark/>
          </w:tcPr>
          <w:p w14:paraId="436AFBAF" w14:textId="1B831653" w:rsidR="00D517B2" w:rsidRPr="00C1008C" w:rsidRDefault="00D042FA" w:rsidP="008218C1">
            <w:pPr>
              <w:spacing w:before="120" w:after="0" w:line="312" w:lineRule="auto"/>
              <w:jc w:val="both"/>
              <w:rPr>
                <w:rFonts w:ascii="Times New Roman" w:eastAsia="Times New Roman" w:hAnsi="Times New Roman" w:cs="Times New Roman"/>
                <w:color w:val="000000"/>
                <w:sz w:val="24"/>
                <w:szCs w:val="24"/>
              </w:rPr>
            </w:pPr>
            <w:proofErr w:type="spellStart"/>
            <w:r w:rsidRPr="00C1008C">
              <w:rPr>
                <w:rFonts w:ascii="Times New Roman" w:eastAsia="Times New Roman" w:hAnsi="Times New Roman" w:cs="Times New Roman"/>
                <w:color w:val="000000"/>
                <w:sz w:val="24"/>
                <w:szCs w:val="24"/>
              </w:rPr>
              <w:t>Nước</w:t>
            </w:r>
            <w:proofErr w:type="spellEnd"/>
            <w:r w:rsidRPr="00C1008C">
              <w:rPr>
                <w:rFonts w:ascii="Times New Roman" w:eastAsia="Times New Roman" w:hAnsi="Times New Roman" w:cs="Times New Roman"/>
                <w:color w:val="000000"/>
                <w:sz w:val="24"/>
                <w:szCs w:val="24"/>
              </w:rPr>
              <w:t xml:space="preserve"> </w:t>
            </w:r>
            <w:proofErr w:type="spellStart"/>
            <w:r w:rsidRPr="00C1008C">
              <w:rPr>
                <w:rFonts w:ascii="Times New Roman" w:eastAsia="Times New Roman" w:hAnsi="Times New Roman" w:cs="Times New Roman"/>
                <w:color w:val="000000"/>
                <w:sz w:val="24"/>
                <w:szCs w:val="24"/>
              </w:rPr>
              <w:t>đang</w:t>
            </w:r>
            <w:proofErr w:type="spellEnd"/>
            <w:r w:rsidRPr="00C1008C">
              <w:rPr>
                <w:rFonts w:ascii="Times New Roman" w:eastAsia="Times New Roman" w:hAnsi="Times New Roman" w:cs="Times New Roman"/>
                <w:color w:val="000000"/>
                <w:sz w:val="24"/>
                <w:szCs w:val="24"/>
              </w:rPr>
              <w:t xml:space="preserve"> </w:t>
            </w:r>
            <w:proofErr w:type="spellStart"/>
            <w:r w:rsidRPr="00C1008C">
              <w:rPr>
                <w:rFonts w:ascii="Times New Roman" w:eastAsia="Times New Roman" w:hAnsi="Times New Roman" w:cs="Times New Roman"/>
                <w:color w:val="000000"/>
                <w:sz w:val="24"/>
                <w:szCs w:val="24"/>
              </w:rPr>
              <w:t>phát</w:t>
            </w:r>
            <w:proofErr w:type="spellEnd"/>
            <w:r w:rsidRPr="00C1008C">
              <w:rPr>
                <w:rFonts w:ascii="Times New Roman" w:eastAsia="Times New Roman" w:hAnsi="Times New Roman" w:cs="Times New Roman"/>
                <w:color w:val="000000"/>
                <w:sz w:val="24"/>
                <w:szCs w:val="24"/>
              </w:rPr>
              <w:t xml:space="preserve"> </w:t>
            </w:r>
            <w:proofErr w:type="spellStart"/>
            <w:r w:rsidRPr="00C1008C">
              <w:rPr>
                <w:rFonts w:ascii="Times New Roman" w:eastAsia="Times New Roman" w:hAnsi="Times New Roman" w:cs="Times New Roman"/>
                <w:color w:val="000000"/>
                <w:sz w:val="24"/>
                <w:szCs w:val="24"/>
              </w:rPr>
              <w:t>triển</w:t>
            </w:r>
            <w:proofErr w:type="spellEnd"/>
          </w:p>
        </w:tc>
        <w:tc>
          <w:tcPr>
            <w:tcW w:w="1245" w:type="dxa"/>
            <w:vMerge w:val="restart"/>
            <w:tcBorders>
              <w:top w:val="single" w:sz="4" w:space="0" w:color="auto"/>
              <w:left w:val="nil"/>
            </w:tcBorders>
            <w:shd w:val="clear" w:color="auto" w:fill="auto"/>
            <w:noWrap/>
            <w:vAlign w:val="center"/>
            <w:hideMark/>
          </w:tcPr>
          <w:p w14:paraId="7A463A8B"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Difference</w:t>
            </w:r>
          </w:p>
        </w:tc>
      </w:tr>
      <w:tr w:rsidR="00D517B2" w:rsidRPr="00C1008C" w14:paraId="3F64D7CC" w14:textId="77777777" w:rsidTr="00D517B2">
        <w:trPr>
          <w:trHeight w:val="393"/>
        </w:trPr>
        <w:tc>
          <w:tcPr>
            <w:tcW w:w="2076" w:type="dxa"/>
            <w:tcBorders>
              <w:top w:val="nil"/>
              <w:left w:val="nil"/>
              <w:bottom w:val="nil"/>
              <w:right w:val="nil"/>
            </w:tcBorders>
            <w:shd w:val="clear" w:color="auto" w:fill="auto"/>
            <w:noWrap/>
            <w:vAlign w:val="bottom"/>
            <w:hideMark/>
          </w:tcPr>
          <w:p w14:paraId="1A3B85A9"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p>
        </w:tc>
        <w:tc>
          <w:tcPr>
            <w:tcW w:w="985" w:type="dxa"/>
            <w:tcBorders>
              <w:top w:val="nil"/>
              <w:left w:val="nil"/>
              <w:bottom w:val="single" w:sz="4" w:space="0" w:color="auto"/>
              <w:right w:val="nil"/>
            </w:tcBorders>
            <w:shd w:val="clear" w:color="auto" w:fill="auto"/>
            <w:noWrap/>
            <w:vAlign w:val="bottom"/>
            <w:hideMark/>
          </w:tcPr>
          <w:p w14:paraId="78835253"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 xml:space="preserve">   </w:t>
            </w:r>
            <w:proofErr w:type="spellStart"/>
            <w:r w:rsidRPr="00C1008C">
              <w:rPr>
                <w:rFonts w:ascii="Times New Roman" w:eastAsia="Times New Roman" w:hAnsi="Times New Roman" w:cs="Times New Roman"/>
                <w:color w:val="000000"/>
                <w:sz w:val="24"/>
                <w:szCs w:val="24"/>
              </w:rPr>
              <w:t>Obs</w:t>
            </w:r>
            <w:proofErr w:type="spellEnd"/>
          </w:p>
        </w:tc>
        <w:tc>
          <w:tcPr>
            <w:tcW w:w="1083" w:type="dxa"/>
            <w:tcBorders>
              <w:top w:val="nil"/>
              <w:left w:val="nil"/>
              <w:bottom w:val="single" w:sz="4" w:space="0" w:color="auto"/>
              <w:right w:val="nil"/>
            </w:tcBorders>
            <w:shd w:val="clear" w:color="auto" w:fill="auto"/>
            <w:noWrap/>
            <w:vAlign w:val="bottom"/>
            <w:hideMark/>
          </w:tcPr>
          <w:p w14:paraId="60FA2141"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Mean</w:t>
            </w:r>
          </w:p>
        </w:tc>
        <w:tc>
          <w:tcPr>
            <w:tcW w:w="1264" w:type="dxa"/>
            <w:tcBorders>
              <w:top w:val="nil"/>
              <w:left w:val="nil"/>
              <w:bottom w:val="single" w:sz="4" w:space="0" w:color="auto"/>
              <w:right w:val="nil"/>
            </w:tcBorders>
            <w:shd w:val="clear" w:color="auto" w:fill="auto"/>
            <w:noWrap/>
            <w:vAlign w:val="bottom"/>
            <w:hideMark/>
          </w:tcPr>
          <w:p w14:paraId="76DA920D"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Std</w:t>
            </w:r>
          </w:p>
        </w:tc>
        <w:tc>
          <w:tcPr>
            <w:tcW w:w="993" w:type="dxa"/>
            <w:tcBorders>
              <w:top w:val="nil"/>
              <w:left w:val="nil"/>
              <w:bottom w:val="single" w:sz="4" w:space="0" w:color="auto"/>
              <w:right w:val="nil"/>
            </w:tcBorders>
            <w:shd w:val="clear" w:color="auto" w:fill="auto"/>
            <w:noWrap/>
            <w:vAlign w:val="bottom"/>
            <w:hideMark/>
          </w:tcPr>
          <w:p w14:paraId="3A21FBF4"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proofErr w:type="spellStart"/>
            <w:r w:rsidRPr="00C1008C">
              <w:rPr>
                <w:rFonts w:ascii="Times New Roman" w:eastAsia="Times New Roman" w:hAnsi="Times New Roman" w:cs="Times New Roman"/>
                <w:color w:val="000000"/>
                <w:sz w:val="24"/>
                <w:szCs w:val="24"/>
              </w:rPr>
              <w:t>Obs</w:t>
            </w:r>
            <w:proofErr w:type="spellEnd"/>
          </w:p>
        </w:tc>
        <w:tc>
          <w:tcPr>
            <w:tcW w:w="993" w:type="dxa"/>
            <w:tcBorders>
              <w:top w:val="nil"/>
              <w:left w:val="nil"/>
              <w:bottom w:val="single" w:sz="4" w:space="0" w:color="auto"/>
              <w:right w:val="nil"/>
            </w:tcBorders>
            <w:shd w:val="clear" w:color="auto" w:fill="auto"/>
            <w:noWrap/>
            <w:vAlign w:val="bottom"/>
            <w:hideMark/>
          </w:tcPr>
          <w:p w14:paraId="44CB839A"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 xml:space="preserve">Mean   </w:t>
            </w:r>
          </w:p>
        </w:tc>
        <w:tc>
          <w:tcPr>
            <w:tcW w:w="1173" w:type="dxa"/>
            <w:gridSpan w:val="2"/>
            <w:tcBorders>
              <w:top w:val="nil"/>
              <w:left w:val="nil"/>
              <w:bottom w:val="single" w:sz="4" w:space="0" w:color="auto"/>
              <w:right w:val="nil"/>
            </w:tcBorders>
            <w:shd w:val="clear" w:color="auto" w:fill="auto"/>
            <w:noWrap/>
            <w:vAlign w:val="bottom"/>
            <w:hideMark/>
          </w:tcPr>
          <w:p w14:paraId="4E847B1E"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 xml:space="preserve">   Std</w:t>
            </w:r>
          </w:p>
        </w:tc>
        <w:tc>
          <w:tcPr>
            <w:tcW w:w="1245" w:type="dxa"/>
            <w:vMerge/>
            <w:tcBorders>
              <w:left w:val="nil"/>
              <w:bottom w:val="single" w:sz="4" w:space="0" w:color="auto"/>
            </w:tcBorders>
            <w:shd w:val="clear" w:color="auto" w:fill="auto"/>
            <w:noWrap/>
            <w:vAlign w:val="bottom"/>
            <w:hideMark/>
          </w:tcPr>
          <w:p w14:paraId="4B741560"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p>
        </w:tc>
      </w:tr>
      <w:tr w:rsidR="00D517B2" w:rsidRPr="00C1008C" w14:paraId="60D8F941" w14:textId="77777777" w:rsidTr="00D517B2">
        <w:trPr>
          <w:trHeight w:val="393"/>
        </w:trPr>
        <w:tc>
          <w:tcPr>
            <w:tcW w:w="2076" w:type="dxa"/>
            <w:tcBorders>
              <w:top w:val="single" w:sz="4" w:space="0" w:color="auto"/>
              <w:left w:val="nil"/>
              <w:bottom w:val="nil"/>
              <w:right w:val="nil"/>
            </w:tcBorders>
            <w:shd w:val="clear" w:color="auto" w:fill="auto"/>
            <w:noWrap/>
            <w:vAlign w:val="bottom"/>
            <w:hideMark/>
          </w:tcPr>
          <w:p w14:paraId="1AB7715F"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BLAU</w:t>
            </w:r>
          </w:p>
        </w:tc>
        <w:tc>
          <w:tcPr>
            <w:tcW w:w="985" w:type="dxa"/>
            <w:tcBorders>
              <w:top w:val="nil"/>
              <w:left w:val="nil"/>
              <w:bottom w:val="nil"/>
              <w:right w:val="nil"/>
            </w:tcBorders>
            <w:shd w:val="clear" w:color="auto" w:fill="auto"/>
            <w:noWrap/>
            <w:vAlign w:val="bottom"/>
            <w:hideMark/>
          </w:tcPr>
          <w:p w14:paraId="0A850F33"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4067</w:t>
            </w:r>
          </w:p>
        </w:tc>
        <w:tc>
          <w:tcPr>
            <w:tcW w:w="1083" w:type="dxa"/>
            <w:tcBorders>
              <w:top w:val="nil"/>
              <w:left w:val="nil"/>
              <w:bottom w:val="nil"/>
              <w:right w:val="nil"/>
            </w:tcBorders>
            <w:shd w:val="clear" w:color="auto" w:fill="auto"/>
            <w:noWrap/>
            <w:vAlign w:val="bottom"/>
            <w:hideMark/>
          </w:tcPr>
          <w:p w14:paraId="2DA4C828"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0.234</w:t>
            </w:r>
          </w:p>
        </w:tc>
        <w:tc>
          <w:tcPr>
            <w:tcW w:w="1264" w:type="dxa"/>
            <w:tcBorders>
              <w:top w:val="nil"/>
              <w:left w:val="nil"/>
              <w:bottom w:val="nil"/>
              <w:right w:val="nil"/>
            </w:tcBorders>
            <w:shd w:val="clear" w:color="auto" w:fill="auto"/>
            <w:noWrap/>
            <w:vAlign w:val="bottom"/>
            <w:hideMark/>
          </w:tcPr>
          <w:p w14:paraId="259F7BF4"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0.154</w:t>
            </w:r>
          </w:p>
        </w:tc>
        <w:tc>
          <w:tcPr>
            <w:tcW w:w="993" w:type="dxa"/>
            <w:tcBorders>
              <w:top w:val="nil"/>
              <w:left w:val="nil"/>
              <w:bottom w:val="nil"/>
              <w:right w:val="nil"/>
            </w:tcBorders>
            <w:shd w:val="clear" w:color="auto" w:fill="auto"/>
            <w:noWrap/>
            <w:vAlign w:val="bottom"/>
            <w:hideMark/>
          </w:tcPr>
          <w:p w14:paraId="7262F5D0"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2621</w:t>
            </w:r>
          </w:p>
        </w:tc>
        <w:tc>
          <w:tcPr>
            <w:tcW w:w="1083" w:type="dxa"/>
            <w:gridSpan w:val="2"/>
            <w:tcBorders>
              <w:top w:val="nil"/>
              <w:left w:val="nil"/>
              <w:bottom w:val="nil"/>
              <w:right w:val="nil"/>
            </w:tcBorders>
            <w:shd w:val="clear" w:color="auto" w:fill="auto"/>
            <w:noWrap/>
            <w:vAlign w:val="bottom"/>
            <w:hideMark/>
          </w:tcPr>
          <w:p w14:paraId="597D12EA"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0.142</w:t>
            </w:r>
          </w:p>
        </w:tc>
        <w:tc>
          <w:tcPr>
            <w:tcW w:w="1083" w:type="dxa"/>
            <w:tcBorders>
              <w:top w:val="nil"/>
              <w:left w:val="nil"/>
              <w:bottom w:val="nil"/>
              <w:right w:val="nil"/>
            </w:tcBorders>
            <w:shd w:val="clear" w:color="auto" w:fill="auto"/>
            <w:noWrap/>
            <w:vAlign w:val="bottom"/>
            <w:hideMark/>
          </w:tcPr>
          <w:p w14:paraId="2E4B79A5"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0.150</w:t>
            </w:r>
          </w:p>
        </w:tc>
        <w:tc>
          <w:tcPr>
            <w:tcW w:w="1245" w:type="dxa"/>
            <w:tcBorders>
              <w:top w:val="nil"/>
              <w:left w:val="nil"/>
              <w:bottom w:val="nil"/>
              <w:right w:val="nil"/>
            </w:tcBorders>
            <w:shd w:val="clear" w:color="auto" w:fill="auto"/>
            <w:noWrap/>
            <w:vAlign w:val="bottom"/>
            <w:hideMark/>
          </w:tcPr>
          <w:p w14:paraId="2086723B"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0.092***</w:t>
            </w:r>
          </w:p>
        </w:tc>
      </w:tr>
      <w:tr w:rsidR="00D517B2" w:rsidRPr="00C1008C" w14:paraId="7A1C562C" w14:textId="77777777" w:rsidTr="00D517B2">
        <w:trPr>
          <w:trHeight w:val="393"/>
        </w:trPr>
        <w:tc>
          <w:tcPr>
            <w:tcW w:w="2076" w:type="dxa"/>
            <w:tcBorders>
              <w:top w:val="nil"/>
              <w:left w:val="nil"/>
              <w:bottom w:val="nil"/>
              <w:right w:val="nil"/>
            </w:tcBorders>
            <w:shd w:val="clear" w:color="auto" w:fill="auto"/>
            <w:noWrap/>
            <w:vAlign w:val="bottom"/>
            <w:hideMark/>
          </w:tcPr>
          <w:p w14:paraId="7EDF18D0"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SIZE(Ln)</w:t>
            </w:r>
          </w:p>
        </w:tc>
        <w:tc>
          <w:tcPr>
            <w:tcW w:w="985" w:type="dxa"/>
            <w:tcBorders>
              <w:top w:val="nil"/>
              <w:left w:val="nil"/>
              <w:bottom w:val="nil"/>
              <w:right w:val="nil"/>
            </w:tcBorders>
            <w:shd w:val="clear" w:color="auto" w:fill="auto"/>
            <w:noWrap/>
            <w:vAlign w:val="bottom"/>
            <w:hideMark/>
          </w:tcPr>
          <w:p w14:paraId="4FC7DA79"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4067</w:t>
            </w:r>
          </w:p>
        </w:tc>
        <w:tc>
          <w:tcPr>
            <w:tcW w:w="1083" w:type="dxa"/>
            <w:tcBorders>
              <w:top w:val="nil"/>
              <w:left w:val="nil"/>
              <w:bottom w:val="nil"/>
              <w:right w:val="nil"/>
            </w:tcBorders>
            <w:shd w:val="clear" w:color="auto" w:fill="auto"/>
            <w:noWrap/>
            <w:vAlign w:val="bottom"/>
            <w:hideMark/>
          </w:tcPr>
          <w:p w14:paraId="411537FD"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9.477</w:t>
            </w:r>
          </w:p>
        </w:tc>
        <w:tc>
          <w:tcPr>
            <w:tcW w:w="1264" w:type="dxa"/>
            <w:tcBorders>
              <w:top w:val="nil"/>
              <w:left w:val="nil"/>
              <w:bottom w:val="nil"/>
              <w:right w:val="nil"/>
            </w:tcBorders>
            <w:shd w:val="clear" w:color="auto" w:fill="auto"/>
            <w:noWrap/>
            <w:vAlign w:val="bottom"/>
            <w:hideMark/>
          </w:tcPr>
          <w:p w14:paraId="6611AB31"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2.199</w:t>
            </w:r>
          </w:p>
        </w:tc>
        <w:tc>
          <w:tcPr>
            <w:tcW w:w="993" w:type="dxa"/>
            <w:tcBorders>
              <w:top w:val="nil"/>
              <w:left w:val="nil"/>
              <w:bottom w:val="nil"/>
              <w:right w:val="nil"/>
            </w:tcBorders>
            <w:shd w:val="clear" w:color="auto" w:fill="auto"/>
            <w:noWrap/>
            <w:vAlign w:val="bottom"/>
            <w:hideMark/>
          </w:tcPr>
          <w:p w14:paraId="4EE15F2D"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2621</w:t>
            </w:r>
          </w:p>
        </w:tc>
        <w:tc>
          <w:tcPr>
            <w:tcW w:w="1083" w:type="dxa"/>
            <w:gridSpan w:val="2"/>
            <w:tcBorders>
              <w:top w:val="nil"/>
              <w:left w:val="nil"/>
              <w:bottom w:val="nil"/>
              <w:right w:val="nil"/>
            </w:tcBorders>
            <w:shd w:val="clear" w:color="auto" w:fill="auto"/>
            <w:noWrap/>
            <w:vAlign w:val="bottom"/>
            <w:hideMark/>
          </w:tcPr>
          <w:p w14:paraId="370D1C29"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9.410</w:t>
            </w:r>
          </w:p>
        </w:tc>
        <w:tc>
          <w:tcPr>
            <w:tcW w:w="1083" w:type="dxa"/>
            <w:tcBorders>
              <w:top w:val="nil"/>
              <w:left w:val="nil"/>
              <w:bottom w:val="nil"/>
              <w:right w:val="nil"/>
            </w:tcBorders>
            <w:shd w:val="clear" w:color="auto" w:fill="auto"/>
            <w:noWrap/>
            <w:vAlign w:val="bottom"/>
            <w:hideMark/>
          </w:tcPr>
          <w:p w14:paraId="0CFE306E"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1.995</w:t>
            </w:r>
          </w:p>
        </w:tc>
        <w:tc>
          <w:tcPr>
            <w:tcW w:w="1245" w:type="dxa"/>
            <w:tcBorders>
              <w:top w:val="nil"/>
              <w:left w:val="nil"/>
              <w:bottom w:val="nil"/>
              <w:right w:val="nil"/>
            </w:tcBorders>
            <w:shd w:val="clear" w:color="auto" w:fill="auto"/>
            <w:noWrap/>
            <w:vAlign w:val="bottom"/>
            <w:hideMark/>
          </w:tcPr>
          <w:p w14:paraId="0E94B625"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0.067</w:t>
            </w:r>
          </w:p>
        </w:tc>
      </w:tr>
      <w:tr w:rsidR="00D517B2" w:rsidRPr="00C1008C" w14:paraId="2A6D66EB" w14:textId="77777777" w:rsidTr="00D517B2">
        <w:trPr>
          <w:trHeight w:val="393"/>
        </w:trPr>
        <w:tc>
          <w:tcPr>
            <w:tcW w:w="2076" w:type="dxa"/>
            <w:tcBorders>
              <w:top w:val="nil"/>
              <w:left w:val="nil"/>
              <w:bottom w:val="nil"/>
              <w:right w:val="nil"/>
            </w:tcBorders>
            <w:shd w:val="clear" w:color="auto" w:fill="auto"/>
            <w:noWrap/>
            <w:vAlign w:val="bottom"/>
            <w:hideMark/>
          </w:tcPr>
          <w:p w14:paraId="2C22C0AF" w14:textId="0AA5738E"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CAP(%)</w:t>
            </w:r>
          </w:p>
        </w:tc>
        <w:tc>
          <w:tcPr>
            <w:tcW w:w="985" w:type="dxa"/>
            <w:tcBorders>
              <w:top w:val="nil"/>
              <w:left w:val="nil"/>
              <w:bottom w:val="nil"/>
              <w:right w:val="nil"/>
            </w:tcBorders>
            <w:shd w:val="clear" w:color="auto" w:fill="auto"/>
            <w:noWrap/>
            <w:vAlign w:val="bottom"/>
            <w:hideMark/>
          </w:tcPr>
          <w:p w14:paraId="4C46C63A"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4067</w:t>
            </w:r>
          </w:p>
        </w:tc>
        <w:tc>
          <w:tcPr>
            <w:tcW w:w="1083" w:type="dxa"/>
            <w:tcBorders>
              <w:top w:val="nil"/>
              <w:left w:val="nil"/>
              <w:bottom w:val="nil"/>
              <w:right w:val="nil"/>
            </w:tcBorders>
            <w:shd w:val="clear" w:color="auto" w:fill="auto"/>
            <w:noWrap/>
            <w:vAlign w:val="bottom"/>
            <w:hideMark/>
          </w:tcPr>
          <w:p w14:paraId="522F71F1"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0.091</w:t>
            </w:r>
          </w:p>
        </w:tc>
        <w:tc>
          <w:tcPr>
            <w:tcW w:w="1264" w:type="dxa"/>
            <w:tcBorders>
              <w:top w:val="nil"/>
              <w:left w:val="nil"/>
              <w:bottom w:val="nil"/>
              <w:right w:val="nil"/>
            </w:tcBorders>
            <w:shd w:val="clear" w:color="auto" w:fill="auto"/>
            <w:noWrap/>
            <w:vAlign w:val="bottom"/>
            <w:hideMark/>
          </w:tcPr>
          <w:p w14:paraId="01330059"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0.042</w:t>
            </w:r>
          </w:p>
        </w:tc>
        <w:tc>
          <w:tcPr>
            <w:tcW w:w="993" w:type="dxa"/>
            <w:tcBorders>
              <w:top w:val="nil"/>
              <w:left w:val="nil"/>
              <w:bottom w:val="nil"/>
              <w:right w:val="nil"/>
            </w:tcBorders>
            <w:shd w:val="clear" w:color="auto" w:fill="auto"/>
            <w:noWrap/>
            <w:vAlign w:val="bottom"/>
            <w:hideMark/>
          </w:tcPr>
          <w:p w14:paraId="1CA108FC"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2621</w:t>
            </w:r>
          </w:p>
        </w:tc>
        <w:tc>
          <w:tcPr>
            <w:tcW w:w="1083" w:type="dxa"/>
            <w:gridSpan w:val="2"/>
            <w:tcBorders>
              <w:top w:val="nil"/>
              <w:left w:val="nil"/>
              <w:bottom w:val="nil"/>
              <w:right w:val="nil"/>
            </w:tcBorders>
            <w:shd w:val="clear" w:color="auto" w:fill="auto"/>
            <w:noWrap/>
            <w:vAlign w:val="bottom"/>
            <w:hideMark/>
          </w:tcPr>
          <w:p w14:paraId="68E27D4B"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0.100</w:t>
            </w:r>
          </w:p>
        </w:tc>
        <w:tc>
          <w:tcPr>
            <w:tcW w:w="1083" w:type="dxa"/>
            <w:tcBorders>
              <w:top w:val="nil"/>
              <w:left w:val="nil"/>
              <w:bottom w:val="nil"/>
              <w:right w:val="nil"/>
            </w:tcBorders>
            <w:shd w:val="clear" w:color="auto" w:fill="auto"/>
            <w:noWrap/>
            <w:vAlign w:val="bottom"/>
            <w:hideMark/>
          </w:tcPr>
          <w:p w14:paraId="53ED921B"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0.052</w:t>
            </w:r>
          </w:p>
        </w:tc>
        <w:tc>
          <w:tcPr>
            <w:tcW w:w="1245" w:type="dxa"/>
            <w:tcBorders>
              <w:top w:val="nil"/>
              <w:left w:val="nil"/>
              <w:bottom w:val="nil"/>
              <w:right w:val="nil"/>
            </w:tcBorders>
            <w:shd w:val="clear" w:color="auto" w:fill="auto"/>
            <w:noWrap/>
            <w:vAlign w:val="bottom"/>
            <w:hideMark/>
          </w:tcPr>
          <w:p w14:paraId="5C0AEE86"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-0.009***</w:t>
            </w:r>
          </w:p>
        </w:tc>
      </w:tr>
      <w:tr w:rsidR="00D517B2" w:rsidRPr="00C1008C" w14:paraId="2727F0D5" w14:textId="77777777" w:rsidTr="00D517B2">
        <w:trPr>
          <w:trHeight w:val="393"/>
        </w:trPr>
        <w:tc>
          <w:tcPr>
            <w:tcW w:w="2076" w:type="dxa"/>
            <w:tcBorders>
              <w:top w:val="nil"/>
              <w:left w:val="nil"/>
              <w:bottom w:val="nil"/>
              <w:right w:val="nil"/>
            </w:tcBorders>
            <w:shd w:val="clear" w:color="auto" w:fill="auto"/>
            <w:noWrap/>
            <w:vAlign w:val="bottom"/>
            <w:hideMark/>
          </w:tcPr>
          <w:p w14:paraId="42120FDA" w14:textId="084EC06B"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FREE</w:t>
            </w:r>
          </w:p>
        </w:tc>
        <w:tc>
          <w:tcPr>
            <w:tcW w:w="985" w:type="dxa"/>
            <w:tcBorders>
              <w:top w:val="nil"/>
              <w:left w:val="nil"/>
              <w:bottom w:val="nil"/>
              <w:right w:val="nil"/>
            </w:tcBorders>
            <w:shd w:val="clear" w:color="auto" w:fill="auto"/>
            <w:noWrap/>
            <w:vAlign w:val="bottom"/>
            <w:hideMark/>
          </w:tcPr>
          <w:p w14:paraId="49F6E6CD"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4067</w:t>
            </w:r>
          </w:p>
        </w:tc>
        <w:tc>
          <w:tcPr>
            <w:tcW w:w="1083" w:type="dxa"/>
            <w:tcBorders>
              <w:top w:val="nil"/>
              <w:left w:val="nil"/>
              <w:bottom w:val="nil"/>
              <w:right w:val="nil"/>
            </w:tcBorders>
            <w:shd w:val="clear" w:color="auto" w:fill="auto"/>
            <w:noWrap/>
            <w:vAlign w:val="bottom"/>
            <w:hideMark/>
          </w:tcPr>
          <w:p w14:paraId="200120B0"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74.640</w:t>
            </w:r>
          </w:p>
        </w:tc>
        <w:tc>
          <w:tcPr>
            <w:tcW w:w="1264" w:type="dxa"/>
            <w:tcBorders>
              <w:top w:val="nil"/>
              <w:left w:val="nil"/>
              <w:bottom w:val="nil"/>
              <w:right w:val="nil"/>
            </w:tcBorders>
            <w:shd w:val="clear" w:color="auto" w:fill="auto"/>
            <w:noWrap/>
            <w:vAlign w:val="bottom"/>
            <w:hideMark/>
          </w:tcPr>
          <w:p w14:paraId="664FCE16"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10.645</w:t>
            </w:r>
          </w:p>
        </w:tc>
        <w:tc>
          <w:tcPr>
            <w:tcW w:w="993" w:type="dxa"/>
            <w:tcBorders>
              <w:top w:val="nil"/>
              <w:left w:val="nil"/>
              <w:bottom w:val="nil"/>
              <w:right w:val="nil"/>
            </w:tcBorders>
            <w:shd w:val="clear" w:color="auto" w:fill="auto"/>
            <w:noWrap/>
            <w:vAlign w:val="bottom"/>
            <w:hideMark/>
          </w:tcPr>
          <w:p w14:paraId="1EA20D24"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2621</w:t>
            </w:r>
          </w:p>
        </w:tc>
        <w:tc>
          <w:tcPr>
            <w:tcW w:w="1083" w:type="dxa"/>
            <w:gridSpan w:val="2"/>
            <w:tcBorders>
              <w:top w:val="nil"/>
              <w:left w:val="nil"/>
              <w:bottom w:val="nil"/>
              <w:right w:val="nil"/>
            </w:tcBorders>
            <w:shd w:val="clear" w:color="auto" w:fill="auto"/>
            <w:noWrap/>
            <w:vAlign w:val="bottom"/>
            <w:hideMark/>
          </w:tcPr>
          <w:p w14:paraId="49DEEE2D"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45.322</w:t>
            </w:r>
          </w:p>
        </w:tc>
        <w:tc>
          <w:tcPr>
            <w:tcW w:w="1083" w:type="dxa"/>
            <w:tcBorders>
              <w:top w:val="nil"/>
              <w:left w:val="nil"/>
              <w:bottom w:val="nil"/>
              <w:right w:val="nil"/>
            </w:tcBorders>
            <w:shd w:val="clear" w:color="auto" w:fill="auto"/>
            <w:noWrap/>
            <w:vAlign w:val="bottom"/>
            <w:hideMark/>
          </w:tcPr>
          <w:p w14:paraId="086414DC"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12.620</w:t>
            </w:r>
          </w:p>
        </w:tc>
        <w:tc>
          <w:tcPr>
            <w:tcW w:w="1245" w:type="dxa"/>
            <w:tcBorders>
              <w:top w:val="nil"/>
              <w:left w:val="nil"/>
              <w:bottom w:val="nil"/>
              <w:right w:val="nil"/>
            </w:tcBorders>
            <w:shd w:val="clear" w:color="auto" w:fill="auto"/>
            <w:noWrap/>
            <w:vAlign w:val="bottom"/>
            <w:hideMark/>
          </w:tcPr>
          <w:p w14:paraId="0280ED9A"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29.318***</w:t>
            </w:r>
          </w:p>
        </w:tc>
      </w:tr>
      <w:tr w:rsidR="00D517B2" w:rsidRPr="00C1008C" w14:paraId="2C4F54EB" w14:textId="77777777" w:rsidTr="00D517B2">
        <w:trPr>
          <w:trHeight w:val="393"/>
        </w:trPr>
        <w:tc>
          <w:tcPr>
            <w:tcW w:w="2076" w:type="dxa"/>
            <w:tcBorders>
              <w:top w:val="nil"/>
              <w:left w:val="nil"/>
              <w:bottom w:val="nil"/>
              <w:right w:val="nil"/>
            </w:tcBorders>
            <w:shd w:val="clear" w:color="auto" w:fill="auto"/>
            <w:noWrap/>
            <w:vAlign w:val="bottom"/>
            <w:hideMark/>
          </w:tcPr>
          <w:p w14:paraId="424EE496" w14:textId="50387454"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INFL(%)</w:t>
            </w:r>
          </w:p>
        </w:tc>
        <w:tc>
          <w:tcPr>
            <w:tcW w:w="985" w:type="dxa"/>
            <w:tcBorders>
              <w:top w:val="nil"/>
              <w:left w:val="nil"/>
              <w:bottom w:val="nil"/>
              <w:right w:val="nil"/>
            </w:tcBorders>
            <w:shd w:val="clear" w:color="auto" w:fill="auto"/>
            <w:noWrap/>
            <w:vAlign w:val="bottom"/>
            <w:hideMark/>
          </w:tcPr>
          <w:p w14:paraId="67A42ABA"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4067</w:t>
            </w:r>
          </w:p>
        </w:tc>
        <w:tc>
          <w:tcPr>
            <w:tcW w:w="1083" w:type="dxa"/>
            <w:tcBorders>
              <w:top w:val="nil"/>
              <w:left w:val="nil"/>
              <w:bottom w:val="nil"/>
              <w:right w:val="nil"/>
            </w:tcBorders>
            <w:shd w:val="clear" w:color="auto" w:fill="auto"/>
            <w:noWrap/>
            <w:vAlign w:val="bottom"/>
            <w:hideMark/>
          </w:tcPr>
          <w:p w14:paraId="2008126A"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0.018</w:t>
            </w:r>
          </w:p>
        </w:tc>
        <w:tc>
          <w:tcPr>
            <w:tcW w:w="1264" w:type="dxa"/>
            <w:tcBorders>
              <w:top w:val="nil"/>
              <w:left w:val="nil"/>
              <w:bottom w:val="nil"/>
              <w:right w:val="nil"/>
            </w:tcBorders>
            <w:shd w:val="clear" w:color="auto" w:fill="auto"/>
            <w:noWrap/>
            <w:vAlign w:val="bottom"/>
            <w:hideMark/>
          </w:tcPr>
          <w:p w14:paraId="70B7351C"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0.018</w:t>
            </w:r>
          </w:p>
        </w:tc>
        <w:tc>
          <w:tcPr>
            <w:tcW w:w="993" w:type="dxa"/>
            <w:tcBorders>
              <w:top w:val="nil"/>
              <w:left w:val="nil"/>
              <w:bottom w:val="nil"/>
              <w:right w:val="nil"/>
            </w:tcBorders>
            <w:shd w:val="clear" w:color="auto" w:fill="auto"/>
            <w:noWrap/>
            <w:vAlign w:val="bottom"/>
            <w:hideMark/>
          </w:tcPr>
          <w:p w14:paraId="3F7D73C0"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2621</w:t>
            </w:r>
          </w:p>
        </w:tc>
        <w:tc>
          <w:tcPr>
            <w:tcW w:w="1083" w:type="dxa"/>
            <w:gridSpan w:val="2"/>
            <w:tcBorders>
              <w:top w:val="nil"/>
              <w:left w:val="nil"/>
              <w:bottom w:val="nil"/>
              <w:right w:val="nil"/>
            </w:tcBorders>
            <w:shd w:val="clear" w:color="auto" w:fill="auto"/>
            <w:noWrap/>
            <w:vAlign w:val="bottom"/>
            <w:hideMark/>
          </w:tcPr>
          <w:p w14:paraId="4ACE5AE6"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0.058</w:t>
            </w:r>
          </w:p>
        </w:tc>
        <w:tc>
          <w:tcPr>
            <w:tcW w:w="1083" w:type="dxa"/>
            <w:tcBorders>
              <w:top w:val="nil"/>
              <w:left w:val="nil"/>
              <w:bottom w:val="nil"/>
              <w:right w:val="nil"/>
            </w:tcBorders>
            <w:shd w:val="clear" w:color="auto" w:fill="auto"/>
            <w:noWrap/>
            <w:vAlign w:val="bottom"/>
            <w:hideMark/>
          </w:tcPr>
          <w:p w14:paraId="698214B3"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0.074</w:t>
            </w:r>
          </w:p>
        </w:tc>
        <w:tc>
          <w:tcPr>
            <w:tcW w:w="1245" w:type="dxa"/>
            <w:tcBorders>
              <w:top w:val="nil"/>
              <w:left w:val="nil"/>
              <w:bottom w:val="nil"/>
              <w:right w:val="nil"/>
            </w:tcBorders>
            <w:shd w:val="clear" w:color="auto" w:fill="auto"/>
            <w:noWrap/>
            <w:vAlign w:val="bottom"/>
            <w:hideMark/>
          </w:tcPr>
          <w:p w14:paraId="3E610D7D"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-0.040***</w:t>
            </w:r>
          </w:p>
        </w:tc>
      </w:tr>
      <w:tr w:rsidR="00D517B2" w:rsidRPr="00C1008C" w14:paraId="24ED70D3" w14:textId="77777777" w:rsidTr="00D517B2">
        <w:trPr>
          <w:trHeight w:val="393"/>
        </w:trPr>
        <w:tc>
          <w:tcPr>
            <w:tcW w:w="2076" w:type="dxa"/>
            <w:tcBorders>
              <w:top w:val="nil"/>
              <w:left w:val="nil"/>
              <w:bottom w:val="nil"/>
              <w:right w:val="nil"/>
            </w:tcBorders>
            <w:shd w:val="clear" w:color="auto" w:fill="auto"/>
            <w:noWrap/>
            <w:vAlign w:val="bottom"/>
            <w:hideMark/>
          </w:tcPr>
          <w:p w14:paraId="7A799369" w14:textId="71F4A173"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GDP(%)</w:t>
            </w:r>
          </w:p>
        </w:tc>
        <w:tc>
          <w:tcPr>
            <w:tcW w:w="985" w:type="dxa"/>
            <w:tcBorders>
              <w:top w:val="nil"/>
              <w:left w:val="nil"/>
              <w:bottom w:val="nil"/>
              <w:right w:val="nil"/>
            </w:tcBorders>
            <w:shd w:val="clear" w:color="auto" w:fill="auto"/>
            <w:noWrap/>
            <w:vAlign w:val="bottom"/>
            <w:hideMark/>
          </w:tcPr>
          <w:p w14:paraId="25190D65"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4067</w:t>
            </w:r>
          </w:p>
        </w:tc>
        <w:tc>
          <w:tcPr>
            <w:tcW w:w="1083" w:type="dxa"/>
            <w:tcBorders>
              <w:top w:val="nil"/>
              <w:left w:val="nil"/>
              <w:bottom w:val="nil"/>
              <w:right w:val="nil"/>
            </w:tcBorders>
            <w:shd w:val="clear" w:color="auto" w:fill="auto"/>
            <w:noWrap/>
            <w:vAlign w:val="bottom"/>
            <w:hideMark/>
          </w:tcPr>
          <w:p w14:paraId="4D23A50C"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0.011</w:t>
            </w:r>
          </w:p>
        </w:tc>
        <w:tc>
          <w:tcPr>
            <w:tcW w:w="1264" w:type="dxa"/>
            <w:tcBorders>
              <w:top w:val="nil"/>
              <w:left w:val="nil"/>
              <w:bottom w:val="nil"/>
              <w:right w:val="nil"/>
            </w:tcBorders>
            <w:shd w:val="clear" w:color="auto" w:fill="auto"/>
            <w:noWrap/>
            <w:vAlign w:val="bottom"/>
            <w:hideMark/>
          </w:tcPr>
          <w:p w14:paraId="6B7F9087"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0.019</w:t>
            </w:r>
          </w:p>
        </w:tc>
        <w:tc>
          <w:tcPr>
            <w:tcW w:w="993" w:type="dxa"/>
            <w:tcBorders>
              <w:top w:val="nil"/>
              <w:left w:val="nil"/>
              <w:bottom w:val="nil"/>
              <w:right w:val="nil"/>
            </w:tcBorders>
            <w:shd w:val="clear" w:color="auto" w:fill="auto"/>
            <w:noWrap/>
            <w:vAlign w:val="bottom"/>
            <w:hideMark/>
          </w:tcPr>
          <w:p w14:paraId="17D87CB6"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2621</w:t>
            </w:r>
          </w:p>
        </w:tc>
        <w:tc>
          <w:tcPr>
            <w:tcW w:w="1083" w:type="dxa"/>
            <w:gridSpan w:val="2"/>
            <w:tcBorders>
              <w:top w:val="nil"/>
              <w:left w:val="nil"/>
              <w:bottom w:val="nil"/>
              <w:right w:val="nil"/>
            </w:tcBorders>
            <w:shd w:val="clear" w:color="auto" w:fill="auto"/>
            <w:noWrap/>
            <w:vAlign w:val="bottom"/>
            <w:hideMark/>
          </w:tcPr>
          <w:p w14:paraId="67351AB8"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0.039</w:t>
            </w:r>
          </w:p>
        </w:tc>
        <w:tc>
          <w:tcPr>
            <w:tcW w:w="1083" w:type="dxa"/>
            <w:tcBorders>
              <w:top w:val="nil"/>
              <w:left w:val="nil"/>
              <w:bottom w:val="nil"/>
              <w:right w:val="nil"/>
            </w:tcBorders>
            <w:shd w:val="clear" w:color="auto" w:fill="auto"/>
            <w:noWrap/>
            <w:vAlign w:val="bottom"/>
            <w:hideMark/>
          </w:tcPr>
          <w:p w14:paraId="7B4F056B"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0.030</w:t>
            </w:r>
          </w:p>
        </w:tc>
        <w:tc>
          <w:tcPr>
            <w:tcW w:w="1245" w:type="dxa"/>
            <w:tcBorders>
              <w:top w:val="nil"/>
              <w:left w:val="nil"/>
              <w:bottom w:val="nil"/>
              <w:right w:val="nil"/>
            </w:tcBorders>
            <w:shd w:val="clear" w:color="auto" w:fill="auto"/>
            <w:noWrap/>
            <w:vAlign w:val="bottom"/>
            <w:hideMark/>
          </w:tcPr>
          <w:p w14:paraId="218FCE63"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-0.028***</w:t>
            </w:r>
          </w:p>
        </w:tc>
      </w:tr>
      <w:tr w:rsidR="00D517B2" w:rsidRPr="00C1008C" w14:paraId="041E2C85" w14:textId="77777777" w:rsidTr="00D517B2">
        <w:trPr>
          <w:trHeight w:val="393"/>
        </w:trPr>
        <w:tc>
          <w:tcPr>
            <w:tcW w:w="2076" w:type="dxa"/>
            <w:tcBorders>
              <w:top w:val="nil"/>
              <w:left w:val="nil"/>
              <w:bottom w:val="nil"/>
              <w:right w:val="nil"/>
            </w:tcBorders>
            <w:shd w:val="clear" w:color="auto" w:fill="auto"/>
            <w:noWrap/>
            <w:vAlign w:val="bottom"/>
            <w:hideMark/>
          </w:tcPr>
          <w:p w14:paraId="440E25B8" w14:textId="50E2ABA4"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REST</w:t>
            </w:r>
          </w:p>
        </w:tc>
        <w:tc>
          <w:tcPr>
            <w:tcW w:w="985" w:type="dxa"/>
            <w:tcBorders>
              <w:top w:val="nil"/>
              <w:left w:val="nil"/>
              <w:bottom w:val="nil"/>
              <w:right w:val="nil"/>
            </w:tcBorders>
            <w:shd w:val="clear" w:color="auto" w:fill="auto"/>
            <w:noWrap/>
            <w:vAlign w:val="bottom"/>
            <w:hideMark/>
          </w:tcPr>
          <w:p w14:paraId="6DC9E03A"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4067</w:t>
            </w:r>
          </w:p>
        </w:tc>
        <w:tc>
          <w:tcPr>
            <w:tcW w:w="1083" w:type="dxa"/>
            <w:tcBorders>
              <w:top w:val="nil"/>
              <w:left w:val="nil"/>
              <w:bottom w:val="nil"/>
              <w:right w:val="nil"/>
            </w:tcBorders>
            <w:shd w:val="clear" w:color="auto" w:fill="auto"/>
            <w:noWrap/>
            <w:vAlign w:val="bottom"/>
            <w:hideMark/>
          </w:tcPr>
          <w:p w14:paraId="74AC0FD9"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7.252</w:t>
            </w:r>
          </w:p>
        </w:tc>
        <w:tc>
          <w:tcPr>
            <w:tcW w:w="1264" w:type="dxa"/>
            <w:tcBorders>
              <w:top w:val="nil"/>
              <w:left w:val="nil"/>
              <w:bottom w:val="nil"/>
              <w:right w:val="nil"/>
            </w:tcBorders>
            <w:shd w:val="clear" w:color="auto" w:fill="auto"/>
            <w:noWrap/>
            <w:vAlign w:val="bottom"/>
            <w:hideMark/>
          </w:tcPr>
          <w:p w14:paraId="07E8DE90"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1.821</w:t>
            </w:r>
          </w:p>
        </w:tc>
        <w:tc>
          <w:tcPr>
            <w:tcW w:w="993" w:type="dxa"/>
            <w:tcBorders>
              <w:top w:val="nil"/>
              <w:left w:val="nil"/>
              <w:bottom w:val="nil"/>
              <w:right w:val="nil"/>
            </w:tcBorders>
            <w:shd w:val="clear" w:color="auto" w:fill="auto"/>
            <w:noWrap/>
            <w:vAlign w:val="bottom"/>
            <w:hideMark/>
          </w:tcPr>
          <w:p w14:paraId="0BAEEEFE"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2491</w:t>
            </w:r>
          </w:p>
        </w:tc>
        <w:tc>
          <w:tcPr>
            <w:tcW w:w="1083" w:type="dxa"/>
            <w:gridSpan w:val="2"/>
            <w:tcBorders>
              <w:top w:val="nil"/>
              <w:left w:val="nil"/>
              <w:bottom w:val="nil"/>
              <w:right w:val="nil"/>
            </w:tcBorders>
            <w:shd w:val="clear" w:color="auto" w:fill="auto"/>
            <w:noWrap/>
            <w:vAlign w:val="bottom"/>
            <w:hideMark/>
          </w:tcPr>
          <w:p w14:paraId="51132DFC"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8.220</w:t>
            </w:r>
          </w:p>
        </w:tc>
        <w:tc>
          <w:tcPr>
            <w:tcW w:w="1083" w:type="dxa"/>
            <w:tcBorders>
              <w:top w:val="nil"/>
              <w:left w:val="nil"/>
              <w:bottom w:val="nil"/>
              <w:right w:val="nil"/>
            </w:tcBorders>
            <w:shd w:val="clear" w:color="auto" w:fill="auto"/>
            <w:noWrap/>
            <w:vAlign w:val="bottom"/>
            <w:hideMark/>
          </w:tcPr>
          <w:p w14:paraId="67D800B9"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1.880</w:t>
            </w:r>
          </w:p>
        </w:tc>
        <w:tc>
          <w:tcPr>
            <w:tcW w:w="1245" w:type="dxa"/>
            <w:tcBorders>
              <w:top w:val="nil"/>
              <w:left w:val="nil"/>
              <w:bottom w:val="nil"/>
              <w:right w:val="nil"/>
            </w:tcBorders>
            <w:shd w:val="clear" w:color="auto" w:fill="auto"/>
            <w:noWrap/>
            <w:vAlign w:val="bottom"/>
            <w:hideMark/>
          </w:tcPr>
          <w:p w14:paraId="64A0B3CA"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-0.968***</w:t>
            </w:r>
          </w:p>
        </w:tc>
      </w:tr>
      <w:tr w:rsidR="00D517B2" w:rsidRPr="00C1008C" w14:paraId="5BDAEE71" w14:textId="77777777" w:rsidTr="00D517B2">
        <w:trPr>
          <w:trHeight w:val="393"/>
        </w:trPr>
        <w:tc>
          <w:tcPr>
            <w:tcW w:w="2076" w:type="dxa"/>
            <w:tcBorders>
              <w:top w:val="nil"/>
              <w:left w:val="nil"/>
              <w:bottom w:val="nil"/>
              <w:right w:val="nil"/>
            </w:tcBorders>
            <w:shd w:val="clear" w:color="auto" w:fill="auto"/>
            <w:noWrap/>
            <w:vAlign w:val="bottom"/>
            <w:hideMark/>
          </w:tcPr>
          <w:p w14:paraId="149E9F85" w14:textId="22DF9DF4"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REQ</w:t>
            </w:r>
          </w:p>
        </w:tc>
        <w:tc>
          <w:tcPr>
            <w:tcW w:w="985" w:type="dxa"/>
            <w:tcBorders>
              <w:top w:val="nil"/>
              <w:left w:val="nil"/>
              <w:bottom w:val="nil"/>
              <w:right w:val="nil"/>
            </w:tcBorders>
            <w:shd w:val="clear" w:color="auto" w:fill="auto"/>
            <w:noWrap/>
            <w:vAlign w:val="bottom"/>
            <w:hideMark/>
          </w:tcPr>
          <w:p w14:paraId="245A6372"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4067</w:t>
            </w:r>
          </w:p>
        </w:tc>
        <w:tc>
          <w:tcPr>
            <w:tcW w:w="1083" w:type="dxa"/>
            <w:tcBorders>
              <w:top w:val="nil"/>
              <w:left w:val="nil"/>
              <w:bottom w:val="nil"/>
              <w:right w:val="nil"/>
            </w:tcBorders>
            <w:shd w:val="clear" w:color="auto" w:fill="auto"/>
            <w:noWrap/>
            <w:vAlign w:val="bottom"/>
            <w:hideMark/>
          </w:tcPr>
          <w:p w14:paraId="3AA5D3BF"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7.852</w:t>
            </w:r>
          </w:p>
        </w:tc>
        <w:tc>
          <w:tcPr>
            <w:tcW w:w="1264" w:type="dxa"/>
            <w:tcBorders>
              <w:top w:val="nil"/>
              <w:left w:val="nil"/>
              <w:bottom w:val="nil"/>
              <w:right w:val="nil"/>
            </w:tcBorders>
            <w:shd w:val="clear" w:color="auto" w:fill="auto"/>
            <w:noWrap/>
            <w:vAlign w:val="bottom"/>
            <w:hideMark/>
          </w:tcPr>
          <w:p w14:paraId="06B91D3C"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0.617</w:t>
            </w:r>
          </w:p>
        </w:tc>
        <w:tc>
          <w:tcPr>
            <w:tcW w:w="993" w:type="dxa"/>
            <w:tcBorders>
              <w:top w:val="nil"/>
              <w:left w:val="nil"/>
              <w:bottom w:val="nil"/>
              <w:right w:val="nil"/>
            </w:tcBorders>
            <w:shd w:val="clear" w:color="auto" w:fill="auto"/>
            <w:noWrap/>
            <w:vAlign w:val="bottom"/>
            <w:hideMark/>
          </w:tcPr>
          <w:p w14:paraId="06A327EB"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2491</w:t>
            </w:r>
          </w:p>
        </w:tc>
        <w:tc>
          <w:tcPr>
            <w:tcW w:w="1083" w:type="dxa"/>
            <w:gridSpan w:val="2"/>
            <w:tcBorders>
              <w:top w:val="nil"/>
              <w:left w:val="nil"/>
              <w:bottom w:val="nil"/>
              <w:right w:val="nil"/>
            </w:tcBorders>
            <w:shd w:val="clear" w:color="auto" w:fill="auto"/>
            <w:noWrap/>
            <w:vAlign w:val="bottom"/>
            <w:hideMark/>
          </w:tcPr>
          <w:p w14:paraId="3C3F20C9"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7.650</w:t>
            </w:r>
          </w:p>
        </w:tc>
        <w:tc>
          <w:tcPr>
            <w:tcW w:w="1083" w:type="dxa"/>
            <w:tcBorders>
              <w:top w:val="nil"/>
              <w:left w:val="nil"/>
              <w:bottom w:val="nil"/>
              <w:right w:val="nil"/>
            </w:tcBorders>
            <w:shd w:val="clear" w:color="auto" w:fill="auto"/>
            <w:noWrap/>
            <w:vAlign w:val="bottom"/>
            <w:hideMark/>
          </w:tcPr>
          <w:p w14:paraId="5CD9A49F"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0.710</w:t>
            </w:r>
          </w:p>
        </w:tc>
        <w:tc>
          <w:tcPr>
            <w:tcW w:w="1245" w:type="dxa"/>
            <w:tcBorders>
              <w:top w:val="nil"/>
              <w:left w:val="nil"/>
              <w:bottom w:val="nil"/>
              <w:right w:val="nil"/>
            </w:tcBorders>
            <w:shd w:val="clear" w:color="auto" w:fill="auto"/>
            <w:noWrap/>
            <w:vAlign w:val="bottom"/>
            <w:hideMark/>
          </w:tcPr>
          <w:p w14:paraId="248D4D4B"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0.202***</w:t>
            </w:r>
          </w:p>
        </w:tc>
      </w:tr>
      <w:tr w:rsidR="00D517B2" w:rsidRPr="00C1008C" w14:paraId="5C929DF5" w14:textId="77777777" w:rsidTr="00D517B2">
        <w:trPr>
          <w:trHeight w:val="393"/>
        </w:trPr>
        <w:tc>
          <w:tcPr>
            <w:tcW w:w="2076" w:type="dxa"/>
            <w:tcBorders>
              <w:top w:val="nil"/>
              <w:left w:val="nil"/>
              <w:bottom w:val="nil"/>
              <w:right w:val="nil"/>
            </w:tcBorders>
            <w:shd w:val="clear" w:color="auto" w:fill="auto"/>
            <w:noWrap/>
            <w:vAlign w:val="bottom"/>
            <w:hideMark/>
          </w:tcPr>
          <w:p w14:paraId="78FA47BA" w14:textId="6BC0A2EE"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SUPIN</w:t>
            </w:r>
          </w:p>
        </w:tc>
        <w:tc>
          <w:tcPr>
            <w:tcW w:w="985" w:type="dxa"/>
            <w:tcBorders>
              <w:top w:val="nil"/>
              <w:left w:val="nil"/>
              <w:bottom w:val="nil"/>
              <w:right w:val="nil"/>
            </w:tcBorders>
            <w:shd w:val="clear" w:color="auto" w:fill="auto"/>
            <w:noWrap/>
            <w:vAlign w:val="bottom"/>
            <w:hideMark/>
          </w:tcPr>
          <w:p w14:paraId="349EB33E"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4067</w:t>
            </w:r>
          </w:p>
        </w:tc>
        <w:tc>
          <w:tcPr>
            <w:tcW w:w="1083" w:type="dxa"/>
            <w:tcBorders>
              <w:top w:val="nil"/>
              <w:left w:val="nil"/>
              <w:bottom w:val="nil"/>
              <w:right w:val="nil"/>
            </w:tcBorders>
            <w:shd w:val="clear" w:color="auto" w:fill="auto"/>
            <w:noWrap/>
            <w:vAlign w:val="bottom"/>
            <w:hideMark/>
          </w:tcPr>
          <w:p w14:paraId="474F10FD"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1.948</w:t>
            </w:r>
          </w:p>
        </w:tc>
        <w:tc>
          <w:tcPr>
            <w:tcW w:w="1264" w:type="dxa"/>
            <w:tcBorders>
              <w:top w:val="nil"/>
              <w:left w:val="nil"/>
              <w:bottom w:val="nil"/>
              <w:right w:val="nil"/>
            </w:tcBorders>
            <w:shd w:val="clear" w:color="auto" w:fill="auto"/>
            <w:noWrap/>
            <w:vAlign w:val="bottom"/>
            <w:hideMark/>
          </w:tcPr>
          <w:p w14:paraId="3F4B8DFB"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0.642</w:t>
            </w:r>
          </w:p>
        </w:tc>
        <w:tc>
          <w:tcPr>
            <w:tcW w:w="993" w:type="dxa"/>
            <w:tcBorders>
              <w:top w:val="nil"/>
              <w:left w:val="nil"/>
              <w:bottom w:val="nil"/>
              <w:right w:val="nil"/>
            </w:tcBorders>
            <w:shd w:val="clear" w:color="auto" w:fill="auto"/>
            <w:noWrap/>
            <w:vAlign w:val="bottom"/>
            <w:hideMark/>
          </w:tcPr>
          <w:p w14:paraId="5092A861"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2491</w:t>
            </w:r>
          </w:p>
        </w:tc>
        <w:tc>
          <w:tcPr>
            <w:tcW w:w="1083" w:type="dxa"/>
            <w:gridSpan w:val="2"/>
            <w:tcBorders>
              <w:top w:val="nil"/>
              <w:left w:val="nil"/>
              <w:bottom w:val="nil"/>
              <w:right w:val="nil"/>
            </w:tcBorders>
            <w:shd w:val="clear" w:color="auto" w:fill="auto"/>
            <w:noWrap/>
            <w:vAlign w:val="bottom"/>
            <w:hideMark/>
          </w:tcPr>
          <w:p w14:paraId="2552750B"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1.970</w:t>
            </w:r>
          </w:p>
        </w:tc>
        <w:tc>
          <w:tcPr>
            <w:tcW w:w="1083" w:type="dxa"/>
            <w:tcBorders>
              <w:top w:val="nil"/>
              <w:left w:val="nil"/>
              <w:bottom w:val="nil"/>
              <w:right w:val="nil"/>
            </w:tcBorders>
            <w:shd w:val="clear" w:color="auto" w:fill="auto"/>
            <w:noWrap/>
            <w:vAlign w:val="bottom"/>
            <w:hideMark/>
          </w:tcPr>
          <w:p w14:paraId="6760FEBC"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0.804</w:t>
            </w:r>
          </w:p>
        </w:tc>
        <w:tc>
          <w:tcPr>
            <w:tcW w:w="1245" w:type="dxa"/>
            <w:tcBorders>
              <w:top w:val="nil"/>
              <w:left w:val="nil"/>
              <w:bottom w:val="nil"/>
              <w:right w:val="nil"/>
            </w:tcBorders>
            <w:shd w:val="clear" w:color="auto" w:fill="auto"/>
            <w:noWrap/>
            <w:vAlign w:val="bottom"/>
            <w:hideMark/>
          </w:tcPr>
          <w:p w14:paraId="0F19670A"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-0.022</w:t>
            </w:r>
          </w:p>
        </w:tc>
      </w:tr>
      <w:tr w:rsidR="00D517B2" w:rsidRPr="00C1008C" w14:paraId="3F274F8D" w14:textId="77777777" w:rsidTr="00D517B2">
        <w:trPr>
          <w:trHeight w:val="393"/>
        </w:trPr>
        <w:tc>
          <w:tcPr>
            <w:tcW w:w="2076" w:type="dxa"/>
            <w:tcBorders>
              <w:top w:val="nil"/>
              <w:left w:val="nil"/>
              <w:bottom w:val="nil"/>
              <w:right w:val="nil"/>
            </w:tcBorders>
            <w:shd w:val="clear" w:color="auto" w:fill="auto"/>
            <w:noWrap/>
            <w:vAlign w:val="bottom"/>
            <w:hideMark/>
          </w:tcPr>
          <w:p w14:paraId="7FC2AA19" w14:textId="5FE4C485"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PRMON</w:t>
            </w:r>
          </w:p>
        </w:tc>
        <w:tc>
          <w:tcPr>
            <w:tcW w:w="985" w:type="dxa"/>
            <w:tcBorders>
              <w:top w:val="nil"/>
              <w:left w:val="nil"/>
              <w:bottom w:val="nil"/>
              <w:right w:val="nil"/>
            </w:tcBorders>
            <w:shd w:val="clear" w:color="auto" w:fill="auto"/>
            <w:noWrap/>
            <w:vAlign w:val="bottom"/>
            <w:hideMark/>
          </w:tcPr>
          <w:p w14:paraId="6A048913"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4067</w:t>
            </w:r>
          </w:p>
        </w:tc>
        <w:tc>
          <w:tcPr>
            <w:tcW w:w="1083" w:type="dxa"/>
            <w:tcBorders>
              <w:top w:val="nil"/>
              <w:left w:val="nil"/>
              <w:bottom w:val="nil"/>
              <w:right w:val="nil"/>
            </w:tcBorders>
            <w:shd w:val="clear" w:color="auto" w:fill="auto"/>
            <w:noWrap/>
            <w:vAlign w:val="bottom"/>
            <w:hideMark/>
          </w:tcPr>
          <w:p w14:paraId="4B0B91D1"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9.432</w:t>
            </w:r>
          </w:p>
        </w:tc>
        <w:tc>
          <w:tcPr>
            <w:tcW w:w="1264" w:type="dxa"/>
            <w:tcBorders>
              <w:top w:val="nil"/>
              <w:left w:val="nil"/>
              <w:bottom w:val="nil"/>
              <w:right w:val="nil"/>
            </w:tcBorders>
            <w:shd w:val="clear" w:color="auto" w:fill="auto"/>
            <w:noWrap/>
            <w:vAlign w:val="bottom"/>
            <w:hideMark/>
          </w:tcPr>
          <w:p w14:paraId="15E5D8B1"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1.394</w:t>
            </w:r>
          </w:p>
        </w:tc>
        <w:tc>
          <w:tcPr>
            <w:tcW w:w="993" w:type="dxa"/>
            <w:tcBorders>
              <w:top w:val="nil"/>
              <w:left w:val="nil"/>
              <w:bottom w:val="nil"/>
              <w:right w:val="nil"/>
            </w:tcBorders>
            <w:shd w:val="clear" w:color="auto" w:fill="auto"/>
            <w:noWrap/>
            <w:vAlign w:val="bottom"/>
            <w:hideMark/>
          </w:tcPr>
          <w:p w14:paraId="2DB6C901"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2491</w:t>
            </w:r>
          </w:p>
        </w:tc>
        <w:tc>
          <w:tcPr>
            <w:tcW w:w="1083" w:type="dxa"/>
            <w:gridSpan w:val="2"/>
            <w:tcBorders>
              <w:top w:val="nil"/>
              <w:left w:val="nil"/>
              <w:bottom w:val="nil"/>
              <w:right w:val="nil"/>
            </w:tcBorders>
            <w:shd w:val="clear" w:color="auto" w:fill="auto"/>
            <w:noWrap/>
            <w:vAlign w:val="bottom"/>
            <w:hideMark/>
          </w:tcPr>
          <w:p w14:paraId="584A08DF"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8.894</w:t>
            </w:r>
          </w:p>
        </w:tc>
        <w:tc>
          <w:tcPr>
            <w:tcW w:w="1083" w:type="dxa"/>
            <w:tcBorders>
              <w:top w:val="nil"/>
              <w:left w:val="nil"/>
              <w:bottom w:val="nil"/>
              <w:right w:val="nil"/>
            </w:tcBorders>
            <w:shd w:val="clear" w:color="auto" w:fill="auto"/>
            <w:noWrap/>
            <w:vAlign w:val="bottom"/>
            <w:hideMark/>
          </w:tcPr>
          <w:p w14:paraId="2B43473A"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1.169</w:t>
            </w:r>
          </w:p>
        </w:tc>
        <w:tc>
          <w:tcPr>
            <w:tcW w:w="1245" w:type="dxa"/>
            <w:tcBorders>
              <w:top w:val="nil"/>
              <w:left w:val="nil"/>
              <w:bottom w:val="nil"/>
              <w:right w:val="nil"/>
            </w:tcBorders>
            <w:shd w:val="clear" w:color="auto" w:fill="auto"/>
            <w:noWrap/>
            <w:vAlign w:val="bottom"/>
            <w:hideMark/>
          </w:tcPr>
          <w:p w14:paraId="4F104B58"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0.538***</w:t>
            </w:r>
          </w:p>
        </w:tc>
      </w:tr>
      <w:tr w:rsidR="00D517B2" w:rsidRPr="00C1008C" w14:paraId="45F2AC89" w14:textId="77777777" w:rsidTr="00D517B2">
        <w:trPr>
          <w:trHeight w:val="393"/>
        </w:trPr>
        <w:tc>
          <w:tcPr>
            <w:tcW w:w="2076" w:type="dxa"/>
            <w:tcBorders>
              <w:top w:val="nil"/>
              <w:left w:val="nil"/>
              <w:bottom w:val="nil"/>
              <w:right w:val="nil"/>
            </w:tcBorders>
            <w:shd w:val="clear" w:color="auto" w:fill="auto"/>
            <w:noWrap/>
            <w:vAlign w:val="bottom"/>
            <w:hideMark/>
          </w:tcPr>
          <w:p w14:paraId="6223B33B" w14:textId="40FD052F"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ASCON(%)</w:t>
            </w:r>
          </w:p>
        </w:tc>
        <w:tc>
          <w:tcPr>
            <w:tcW w:w="985" w:type="dxa"/>
            <w:tcBorders>
              <w:top w:val="nil"/>
              <w:left w:val="nil"/>
              <w:bottom w:val="nil"/>
              <w:right w:val="nil"/>
            </w:tcBorders>
            <w:shd w:val="clear" w:color="auto" w:fill="auto"/>
            <w:noWrap/>
            <w:vAlign w:val="bottom"/>
            <w:hideMark/>
          </w:tcPr>
          <w:p w14:paraId="0E9FC490"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4067</w:t>
            </w:r>
          </w:p>
        </w:tc>
        <w:tc>
          <w:tcPr>
            <w:tcW w:w="1083" w:type="dxa"/>
            <w:tcBorders>
              <w:top w:val="nil"/>
              <w:left w:val="nil"/>
              <w:bottom w:val="nil"/>
              <w:right w:val="nil"/>
            </w:tcBorders>
            <w:shd w:val="clear" w:color="auto" w:fill="auto"/>
            <w:noWrap/>
            <w:vAlign w:val="bottom"/>
            <w:hideMark/>
          </w:tcPr>
          <w:p w14:paraId="224491E5"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0.580</w:t>
            </w:r>
          </w:p>
        </w:tc>
        <w:tc>
          <w:tcPr>
            <w:tcW w:w="1264" w:type="dxa"/>
            <w:tcBorders>
              <w:top w:val="nil"/>
              <w:left w:val="nil"/>
              <w:bottom w:val="nil"/>
              <w:right w:val="nil"/>
            </w:tcBorders>
            <w:shd w:val="clear" w:color="auto" w:fill="auto"/>
            <w:noWrap/>
            <w:vAlign w:val="bottom"/>
            <w:hideMark/>
          </w:tcPr>
          <w:p w14:paraId="3B9DBFE7"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0.196</w:t>
            </w:r>
          </w:p>
        </w:tc>
        <w:tc>
          <w:tcPr>
            <w:tcW w:w="993" w:type="dxa"/>
            <w:tcBorders>
              <w:top w:val="nil"/>
              <w:left w:val="nil"/>
              <w:bottom w:val="nil"/>
              <w:right w:val="nil"/>
            </w:tcBorders>
            <w:shd w:val="clear" w:color="auto" w:fill="auto"/>
            <w:noWrap/>
            <w:vAlign w:val="bottom"/>
            <w:hideMark/>
          </w:tcPr>
          <w:p w14:paraId="2DD7E639"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2491</w:t>
            </w:r>
          </w:p>
        </w:tc>
        <w:tc>
          <w:tcPr>
            <w:tcW w:w="1083" w:type="dxa"/>
            <w:gridSpan w:val="2"/>
            <w:tcBorders>
              <w:top w:val="nil"/>
              <w:left w:val="nil"/>
              <w:bottom w:val="nil"/>
              <w:right w:val="nil"/>
            </w:tcBorders>
            <w:shd w:val="clear" w:color="auto" w:fill="auto"/>
            <w:noWrap/>
            <w:vAlign w:val="bottom"/>
            <w:hideMark/>
          </w:tcPr>
          <w:p w14:paraId="4EA7E25C"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0.543</w:t>
            </w:r>
          </w:p>
        </w:tc>
        <w:tc>
          <w:tcPr>
            <w:tcW w:w="1083" w:type="dxa"/>
            <w:tcBorders>
              <w:top w:val="nil"/>
              <w:left w:val="nil"/>
              <w:bottom w:val="nil"/>
              <w:right w:val="nil"/>
            </w:tcBorders>
            <w:shd w:val="clear" w:color="auto" w:fill="auto"/>
            <w:noWrap/>
            <w:vAlign w:val="bottom"/>
            <w:hideMark/>
          </w:tcPr>
          <w:p w14:paraId="19A3D278"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0.132</w:t>
            </w:r>
          </w:p>
        </w:tc>
        <w:tc>
          <w:tcPr>
            <w:tcW w:w="1245" w:type="dxa"/>
            <w:tcBorders>
              <w:top w:val="nil"/>
              <w:left w:val="nil"/>
              <w:bottom w:val="nil"/>
              <w:right w:val="nil"/>
            </w:tcBorders>
            <w:shd w:val="clear" w:color="auto" w:fill="auto"/>
            <w:noWrap/>
            <w:vAlign w:val="bottom"/>
            <w:hideMark/>
          </w:tcPr>
          <w:p w14:paraId="3CCE006A"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0.037***</w:t>
            </w:r>
          </w:p>
        </w:tc>
      </w:tr>
      <w:tr w:rsidR="00D517B2" w:rsidRPr="00C1008C" w14:paraId="162EEC07" w14:textId="77777777" w:rsidTr="00D517B2">
        <w:trPr>
          <w:trHeight w:val="393"/>
        </w:trPr>
        <w:tc>
          <w:tcPr>
            <w:tcW w:w="2076" w:type="dxa"/>
            <w:tcBorders>
              <w:top w:val="nil"/>
              <w:left w:val="nil"/>
              <w:bottom w:val="nil"/>
              <w:right w:val="nil"/>
            </w:tcBorders>
            <w:shd w:val="clear" w:color="auto" w:fill="auto"/>
            <w:noWrap/>
            <w:vAlign w:val="bottom"/>
            <w:hideMark/>
          </w:tcPr>
          <w:p w14:paraId="09D1EF4C" w14:textId="45BCB0D1"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DECON(%)</w:t>
            </w:r>
          </w:p>
        </w:tc>
        <w:tc>
          <w:tcPr>
            <w:tcW w:w="985" w:type="dxa"/>
            <w:tcBorders>
              <w:top w:val="nil"/>
              <w:left w:val="nil"/>
              <w:bottom w:val="nil"/>
              <w:right w:val="nil"/>
            </w:tcBorders>
            <w:shd w:val="clear" w:color="auto" w:fill="auto"/>
            <w:noWrap/>
            <w:vAlign w:val="bottom"/>
            <w:hideMark/>
          </w:tcPr>
          <w:p w14:paraId="55D5DCD2"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4067</w:t>
            </w:r>
          </w:p>
        </w:tc>
        <w:tc>
          <w:tcPr>
            <w:tcW w:w="1083" w:type="dxa"/>
            <w:tcBorders>
              <w:top w:val="nil"/>
              <w:left w:val="nil"/>
              <w:bottom w:val="nil"/>
              <w:right w:val="nil"/>
            </w:tcBorders>
            <w:shd w:val="clear" w:color="auto" w:fill="auto"/>
            <w:noWrap/>
            <w:vAlign w:val="bottom"/>
            <w:hideMark/>
          </w:tcPr>
          <w:p w14:paraId="0885568F"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0.554</w:t>
            </w:r>
          </w:p>
        </w:tc>
        <w:tc>
          <w:tcPr>
            <w:tcW w:w="1264" w:type="dxa"/>
            <w:tcBorders>
              <w:top w:val="nil"/>
              <w:left w:val="nil"/>
              <w:bottom w:val="nil"/>
              <w:right w:val="nil"/>
            </w:tcBorders>
            <w:shd w:val="clear" w:color="auto" w:fill="auto"/>
            <w:noWrap/>
            <w:vAlign w:val="bottom"/>
            <w:hideMark/>
          </w:tcPr>
          <w:p w14:paraId="7E565F7F"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0.203</w:t>
            </w:r>
          </w:p>
        </w:tc>
        <w:tc>
          <w:tcPr>
            <w:tcW w:w="993" w:type="dxa"/>
            <w:tcBorders>
              <w:top w:val="nil"/>
              <w:left w:val="nil"/>
              <w:bottom w:val="nil"/>
              <w:right w:val="nil"/>
            </w:tcBorders>
            <w:shd w:val="clear" w:color="auto" w:fill="auto"/>
            <w:noWrap/>
            <w:vAlign w:val="bottom"/>
            <w:hideMark/>
          </w:tcPr>
          <w:p w14:paraId="529A8A24"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2491</w:t>
            </w:r>
          </w:p>
        </w:tc>
        <w:tc>
          <w:tcPr>
            <w:tcW w:w="1083" w:type="dxa"/>
            <w:gridSpan w:val="2"/>
            <w:tcBorders>
              <w:top w:val="nil"/>
              <w:left w:val="nil"/>
              <w:bottom w:val="nil"/>
              <w:right w:val="nil"/>
            </w:tcBorders>
            <w:shd w:val="clear" w:color="auto" w:fill="auto"/>
            <w:noWrap/>
            <w:vAlign w:val="bottom"/>
            <w:hideMark/>
          </w:tcPr>
          <w:p w14:paraId="0DB25C6D"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0.564</w:t>
            </w:r>
          </w:p>
        </w:tc>
        <w:tc>
          <w:tcPr>
            <w:tcW w:w="1083" w:type="dxa"/>
            <w:tcBorders>
              <w:top w:val="nil"/>
              <w:left w:val="nil"/>
              <w:bottom w:val="nil"/>
              <w:right w:val="nil"/>
            </w:tcBorders>
            <w:shd w:val="clear" w:color="auto" w:fill="auto"/>
            <w:noWrap/>
            <w:vAlign w:val="bottom"/>
            <w:hideMark/>
          </w:tcPr>
          <w:p w14:paraId="0E9070CE"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0.142</w:t>
            </w:r>
          </w:p>
        </w:tc>
        <w:tc>
          <w:tcPr>
            <w:tcW w:w="1245" w:type="dxa"/>
            <w:tcBorders>
              <w:top w:val="nil"/>
              <w:left w:val="nil"/>
              <w:bottom w:val="nil"/>
              <w:right w:val="nil"/>
            </w:tcBorders>
            <w:shd w:val="clear" w:color="auto" w:fill="auto"/>
            <w:noWrap/>
            <w:vAlign w:val="bottom"/>
            <w:hideMark/>
          </w:tcPr>
          <w:p w14:paraId="564452F2"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-0.010**</w:t>
            </w:r>
          </w:p>
        </w:tc>
      </w:tr>
      <w:tr w:rsidR="00D517B2" w:rsidRPr="00C1008C" w14:paraId="742870CA" w14:textId="77777777" w:rsidTr="00D517B2">
        <w:trPr>
          <w:trHeight w:val="393"/>
        </w:trPr>
        <w:tc>
          <w:tcPr>
            <w:tcW w:w="2076" w:type="dxa"/>
            <w:tcBorders>
              <w:top w:val="nil"/>
              <w:left w:val="nil"/>
              <w:bottom w:val="nil"/>
              <w:right w:val="nil"/>
            </w:tcBorders>
            <w:shd w:val="clear" w:color="auto" w:fill="auto"/>
            <w:noWrap/>
            <w:vAlign w:val="bottom"/>
            <w:hideMark/>
          </w:tcPr>
          <w:p w14:paraId="2121816A" w14:textId="6A2F0308"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FOWN(%)</w:t>
            </w:r>
          </w:p>
        </w:tc>
        <w:tc>
          <w:tcPr>
            <w:tcW w:w="985" w:type="dxa"/>
            <w:tcBorders>
              <w:top w:val="nil"/>
              <w:left w:val="nil"/>
              <w:bottom w:val="nil"/>
              <w:right w:val="nil"/>
            </w:tcBorders>
            <w:shd w:val="clear" w:color="auto" w:fill="auto"/>
            <w:noWrap/>
            <w:vAlign w:val="bottom"/>
            <w:hideMark/>
          </w:tcPr>
          <w:p w14:paraId="1D6E942E"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4067</w:t>
            </w:r>
          </w:p>
        </w:tc>
        <w:tc>
          <w:tcPr>
            <w:tcW w:w="1083" w:type="dxa"/>
            <w:tcBorders>
              <w:top w:val="nil"/>
              <w:left w:val="nil"/>
              <w:bottom w:val="nil"/>
              <w:right w:val="nil"/>
            </w:tcBorders>
            <w:shd w:val="clear" w:color="auto" w:fill="auto"/>
            <w:noWrap/>
            <w:vAlign w:val="bottom"/>
            <w:hideMark/>
          </w:tcPr>
          <w:p w14:paraId="363765EE"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0.143</w:t>
            </w:r>
          </w:p>
        </w:tc>
        <w:tc>
          <w:tcPr>
            <w:tcW w:w="1264" w:type="dxa"/>
            <w:tcBorders>
              <w:top w:val="nil"/>
              <w:left w:val="nil"/>
              <w:bottom w:val="nil"/>
              <w:right w:val="nil"/>
            </w:tcBorders>
            <w:shd w:val="clear" w:color="auto" w:fill="auto"/>
            <w:noWrap/>
            <w:vAlign w:val="bottom"/>
            <w:hideMark/>
          </w:tcPr>
          <w:p w14:paraId="064E1E4D"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0.125</w:t>
            </w:r>
          </w:p>
        </w:tc>
        <w:tc>
          <w:tcPr>
            <w:tcW w:w="993" w:type="dxa"/>
            <w:tcBorders>
              <w:top w:val="nil"/>
              <w:left w:val="nil"/>
              <w:bottom w:val="nil"/>
              <w:right w:val="nil"/>
            </w:tcBorders>
            <w:shd w:val="clear" w:color="auto" w:fill="auto"/>
            <w:noWrap/>
            <w:vAlign w:val="bottom"/>
            <w:hideMark/>
          </w:tcPr>
          <w:p w14:paraId="7DED2458"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2491</w:t>
            </w:r>
          </w:p>
        </w:tc>
        <w:tc>
          <w:tcPr>
            <w:tcW w:w="1083" w:type="dxa"/>
            <w:gridSpan w:val="2"/>
            <w:tcBorders>
              <w:top w:val="nil"/>
              <w:left w:val="nil"/>
              <w:bottom w:val="nil"/>
              <w:right w:val="nil"/>
            </w:tcBorders>
            <w:shd w:val="clear" w:color="auto" w:fill="auto"/>
            <w:noWrap/>
            <w:vAlign w:val="bottom"/>
            <w:hideMark/>
          </w:tcPr>
          <w:p w14:paraId="0D9842E7"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0.236</w:t>
            </w:r>
          </w:p>
        </w:tc>
        <w:tc>
          <w:tcPr>
            <w:tcW w:w="1083" w:type="dxa"/>
            <w:tcBorders>
              <w:top w:val="nil"/>
              <w:left w:val="nil"/>
              <w:bottom w:val="nil"/>
              <w:right w:val="nil"/>
            </w:tcBorders>
            <w:shd w:val="clear" w:color="auto" w:fill="auto"/>
            <w:noWrap/>
            <w:vAlign w:val="bottom"/>
            <w:hideMark/>
          </w:tcPr>
          <w:p w14:paraId="254B4002"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0.193</w:t>
            </w:r>
          </w:p>
        </w:tc>
        <w:tc>
          <w:tcPr>
            <w:tcW w:w="1245" w:type="dxa"/>
            <w:tcBorders>
              <w:top w:val="nil"/>
              <w:left w:val="nil"/>
              <w:bottom w:val="nil"/>
              <w:right w:val="nil"/>
            </w:tcBorders>
            <w:shd w:val="clear" w:color="auto" w:fill="auto"/>
            <w:noWrap/>
            <w:vAlign w:val="bottom"/>
            <w:hideMark/>
          </w:tcPr>
          <w:p w14:paraId="52E34705"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-0.093***</w:t>
            </w:r>
          </w:p>
        </w:tc>
      </w:tr>
      <w:tr w:rsidR="00D517B2" w:rsidRPr="00C1008C" w14:paraId="3A31099D" w14:textId="77777777" w:rsidTr="00D517B2">
        <w:trPr>
          <w:trHeight w:val="393"/>
        </w:trPr>
        <w:tc>
          <w:tcPr>
            <w:tcW w:w="2076" w:type="dxa"/>
            <w:tcBorders>
              <w:top w:val="nil"/>
              <w:left w:val="nil"/>
              <w:bottom w:val="single" w:sz="4" w:space="0" w:color="auto"/>
              <w:right w:val="nil"/>
            </w:tcBorders>
            <w:shd w:val="clear" w:color="auto" w:fill="auto"/>
            <w:noWrap/>
            <w:vAlign w:val="bottom"/>
            <w:hideMark/>
          </w:tcPr>
          <w:p w14:paraId="4E7BFDC0" w14:textId="5C1FA384"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GOWN(%)</w:t>
            </w:r>
          </w:p>
        </w:tc>
        <w:tc>
          <w:tcPr>
            <w:tcW w:w="985" w:type="dxa"/>
            <w:tcBorders>
              <w:top w:val="nil"/>
              <w:left w:val="nil"/>
              <w:bottom w:val="single" w:sz="4" w:space="0" w:color="auto"/>
              <w:right w:val="nil"/>
            </w:tcBorders>
            <w:shd w:val="clear" w:color="auto" w:fill="auto"/>
            <w:noWrap/>
            <w:vAlign w:val="bottom"/>
            <w:hideMark/>
          </w:tcPr>
          <w:p w14:paraId="05C29F12"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4067</w:t>
            </w:r>
          </w:p>
        </w:tc>
        <w:tc>
          <w:tcPr>
            <w:tcW w:w="1083" w:type="dxa"/>
            <w:tcBorders>
              <w:top w:val="nil"/>
              <w:left w:val="nil"/>
              <w:bottom w:val="single" w:sz="4" w:space="0" w:color="auto"/>
              <w:right w:val="nil"/>
            </w:tcBorders>
            <w:shd w:val="clear" w:color="auto" w:fill="auto"/>
            <w:noWrap/>
            <w:vAlign w:val="bottom"/>
            <w:hideMark/>
          </w:tcPr>
          <w:p w14:paraId="165D33BB"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0.044</w:t>
            </w:r>
          </w:p>
        </w:tc>
        <w:tc>
          <w:tcPr>
            <w:tcW w:w="1264" w:type="dxa"/>
            <w:tcBorders>
              <w:top w:val="nil"/>
              <w:left w:val="nil"/>
              <w:bottom w:val="single" w:sz="4" w:space="0" w:color="auto"/>
              <w:right w:val="nil"/>
            </w:tcBorders>
            <w:shd w:val="clear" w:color="auto" w:fill="auto"/>
            <w:noWrap/>
            <w:vAlign w:val="bottom"/>
            <w:hideMark/>
          </w:tcPr>
          <w:p w14:paraId="10965DA2"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0.096</w:t>
            </w:r>
          </w:p>
        </w:tc>
        <w:tc>
          <w:tcPr>
            <w:tcW w:w="993" w:type="dxa"/>
            <w:tcBorders>
              <w:top w:val="nil"/>
              <w:left w:val="nil"/>
              <w:bottom w:val="single" w:sz="4" w:space="0" w:color="auto"/>
              <w:right w:val="nil"/>
            </w:tcBorders>
            <w:shd w:val="clear" w:color="auto" w:fill="auto"/>
            <w:noWrap/>
            <w:vAlign w:val="bottom"/>
            <w:hideMark/>
          </w:tcPr>
          <w:p w14:paraId="7392DB60"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2491</w:t>
            </w:r>
          </w:p>
        </w:tc>
        <w:tc>
          <w:tcPr>
            <w:tcW w:w="1083" w:type="dxa"/>
            <w:gridSpan w:val="2"/>
            <w:tcBorders>
              <w:top w:val="nil"/>
              <w:left w:val="nil"/>
              <w:bottom w:val="single" w:sz="4" w:space="0" w:color="auto"/>
              <w:right w:val="nil"/>
            </w:tcBorders>
            <w:shd w:val="clear" w:color="auto" w:fill="auto"/>
            <w:noWrap/>
            <w:vAlign w:val="bottom"/>
            <w:hideMark/>
          </w:tcPr>
          <w:p w14:paraId="63F6F5AC"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0.389</w:t>
            </w:r>
          </w:p>
        </w:tc>
        <w:tc>
          <w:tcPr>
            <w:tcW w:w="1083" w:type="dxa"/>
            <w:tcBorders>
              <w:top w:val="nil"/>
              <w:left w:val="nil"/>
              <w:bottom w:val="single" w:sz="4" w:space="0" w:color="auto"/>
              <w:right w:val="nil"/>
            </w:tcBorders>
            <w:shd w:val="clear" w:color="auto" w:fill="auto"/>
            <w:noWrap/>
            <w:vAlign w:val="bottom"/>
            <w:hideMark/>
          </w:tcPr>
          <w:p w14:paraId="143BB4CF"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0.245</w:t>
            </w:r>
          </w:p>
        </w:tc>
        <w:tc>
          <w:tcPr>
            <w:tcW w:w="1245" w:type="dxa"/>
            <w:tcBorders>
              <w:top w:val="nil"/>
              <w:left w:val="nil"/>
              <w:bottom w:val="single" w:sz="4" w:space="0" w:color="auto"/>
              <w:right w:val="nil"/>
            </w:tcBorders>
            <w:shd w:val="clear" w:color="auto" w:fill="auto"/>
            <w:noWrap/>
            <w:vAlign w:val="bottom"/>
            <w:hideMark/>
          </w:tcPr>
          <w:p w14:paraId="51941D33" w14:textId="77777777" w:rsidR="00D517B2" w:rsidRPr="00C1008C" w:rsidRDefault="00D517B2" w:rsidP="008218C1">
            <w:pPr>
              <w:spacing w:before="120" w:after="0" w:line="312" w:lineRule="auto"/>
              <w:jc w:val="both"/>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-0.345***</w:t>
            </w:r>
          </w:p>
        </w:tc>
      </w:tr>
    </w:tbl>
    <w:p w14:paraId="2847D37F" w14:textId="584F521C" w:rsidR="00584F74" w:rsidRDefault="009D5537" w:rsidP="008218C1">
      <w:pPr>
        <w:spacing w:before="120" w:after="0" w:line="312" w:lineRule="auto"/>
        <w:jc w:val="both"/>
        <w:rPr>
          <w:rFonts w:ascii="Times New Roman" w:hAnsi="Times New Roman" w:cs="Times New Roman"/>
          <w:sz w:val="24"/>
          <w:szCs w:val="24"/>
        </w:rPr>
      </w:pPr>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biết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mức</w:t>
      </w:r>
      <w:proofErr w:type="spellEnd"/>
      <w:r w:rsidRPr="00593435">
        <w:rPr>
          <w:rFonts w:ascii="Times New Roman" w:hAnsi="Times New Roman" w:cs="Times New Roman"/>
          <w:sz w:val="24"/>
          <w:szCs w:val="24"/>
        </w:rPr>
        <w:t xml:space="preserve"> ý </w:t>
      </w:r>
      <w:proofErr w:type="spellStart"/>
      <w:r w:rsidRPr="00593435">
        <w:rPr>
          <w:rFonts w:ascii="Times New Roman" w:hAnsi="Times New Roman" w:cs="Times New Roman"/>
          <w:sz w:val="24"/>
          <w:szCs w:val="24"/>
        </w:rPr>
        <w:t>nghĩa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tương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ứng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là</w:t>
      </w:r>
      <w:proofErr w:type="spellEnd"/>
      <w:r w:rsidRPr="00593435">
        <w:rPr>
          <w:rFonts w:ascii="Times New Roman" w:hAnsi="Times New Roman" w:cs="Times New Roman"/>
          <w:sz w:val="24"/>
          <w:szCs w:val="24"/>
        </w:rPr>
        <w:t xml:space="preserve"> 5%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1%.</w:t>
      </w:r>
    </w:p>
    <w:p w14:paraId="760DE0B9" w14:textId="77777777" w:rsidR="00C1008C" w:rsidRPr="00593435" w:rsidRDefault="00C1008C" w:rsidP="008218C1">
      <w:pPr>
        <w:spacing w:before="120" w:after="0" w:line="312" w:lineRule="auto"/>
        <w:jc w:val="both"/>
        <w:rPr>
          <w:rFonts w:ascii="Times New Roman" w:hAnsi="Times New Roman" w:cs="Times New Roman"/>
          <w:sz w:val="24"/>
          <w:szCs w:val="24"/>
        </w:rPr>
      </w:pPr>
    </w:p>
    <w:p w14:paraId="3C6252F6" w14:textId="4BF32A0E" w:rsidR="006D5CC8" w:rsidRPr="00593435" w:rsidRDefault="00584F74" w:rsidP="008218C1">
      <w:pPr>
        <w:pStyle w:val="ListParagraph"/>
        <w:numPr>
          <w:ilvl w:val="1"/>
          <w:numId w:val="1"/>
        </w:numPr>
        <w:spacing w:before="120" w:after="0" w:line="312" w:lineRule="auto"/>
        <w:ind w:left="0" w:firstLine="0"/>
        <w:contextualSpacing w:val="0"/>
        <w:jc w:val="both"/>
        <w:rPr>
          <w:rFonts w:ascii="Times New Roman" w:hAnsi="Times New Roman" w:cs="Times New Roman"/>
          <w:b/>
          <w:bCs/>
          <w:i/>
          <w:iCs/>
          <w:sz w:val="24"/>
          <w:szCs w:val="24"/>
        </w:rPr>
      </w:pPr>
      <w:proofErr w:type="spellStart"/>
      <w:r w:rsidRPr="00593435">
        <w:rPr>
          <w:rFonts w:ascii="Times New Roman" w:hAnsi="Times New Roman" w:cs="Times New Roman"/>
          <w:b/>
          <w:bCs/>
          <w:i/>
          <w:iCs/>
          <w:sz w:val="24"/>
          <w:szCs w:val="24"/>
        </w:rPr>
        <w:t>K</w:t>
      </w:r>
      <w:r w:rsidR="00DB7A58" w:rsidRPr="00593435">
        <w:rPr>
          <w:rFonts w:ascii="Times New Roman" w:hAnsi="Times New Roman" w:cs="Times New Roman"/>
          <w:b/>
          <w:bCs/>
          <w:i/>
          <w:iCs/>
          <w:sz w:val="24"/>
          <w:szCs w:val="24"/>
        </w:rPr>
        <w:t>ết</w:t>
      </w:r>
      <w:proofErr w:type="spellEnd"/>
      <w:r w:rsidR="00DB7A58" w:rsidRPr="00593435">
        <w:rPr>
          <w:rFonts w:ascii="Times New Roman" w:hAnsi="Times New Roman" w:cs="Times New Roman"/>
          <w:b/>
          <w:bCs/>
          <w:i/>
          <w:iCs/>
          <w:sz w:val="24"/>
          <w:szCs w:val="24"/>
        </w:rPr>
        <w:t xml:space="preserve"> </w:t>
      </w:r>
      <w:proofErr w:type="spellStart"/>
      <w:r w:rsidR="00DB7A58" w:rsidRPr="00593435">
        <w:rPr>
          <w:rFonts w:ascii="Times New Roman" w:hAnsi="Times New Roman" w:cs="Times New Roman"/>
          <w:b/>
          <w:bCs/>
          <w:i/>
          <w:iCs/>
          <w:sz w:val="24"/>
          <w:szCs w:val="24"/>
        </w:rPr>
        <w:t>quả</w:t>
      </w:r>
      <w:proofErr w:type="spellEnd"/>
      <w:r w:rsidR="00DB7A58" w:rsidRPr="00593435">
        <w:rPr>
          <w:rFonts w:ascii="Times New Roman" w:hAnsi="Times New Roman" w:cs="Times New Roman"/>
          <w:b/>
          <w:bCs/>
          <w:i/>
          <w:iCs/>
          <w:sz w:val="24"/>
          <w:szCs w:val="24"/>
        </w:rPr>
        <w:t xml:space="preserve"> </w:t>
      </w:r>
      <w:proofErr w:type="spellStart"/>
      <w:r w:rsidR="00DB7A58" w:rsidRPr="00593435">
        <w:rPr>
          <w:rFonts w:ascii="Times New Roman" w:hAnsi="Times New Roman" w:cs="Times New Roman"/>
          <w:b/>
          <w:bCs/>
          <w:i/>
          <w:iCs/>
          <w:sz w:val="24"/>
          <w:szCs w:val="24"/>
        </w:rPr>
        <w:t>nghiên</w:t>
      </w:r>
      <w:proofErr w:type="spellEnd"/>
      <w:r w:rsidR="00DB7A58" w:rsidRPr="00593435">
        <w:rPr>
          <w:rFonts w:ascii="Times New Roman" w:hAnsi="Times New Roman" w:cs="Times New Roman"/>
          <w:b/>
          <w:bCs/>
          <w:i/>
          <w:iCs/>
          <w:sz w:val="24"/>
          <w:szCs w:val="24"/>
        </w:rPr>
        <w:t xml:space="preserve"> </w:t>
      </w:r>
      <w:proofErr w:type="spellStart"/>
      <w:r w:rsidR="00DB7A58" w:rsidRPr="00593435">
        <w:rPr>
          <w:rFonts w:ascii="Times New Roman" w:hAnsi="Times New Roman" w:cs="Times New Roman"/>
          <w:b/>
          <w:bCs/>
          <w:i/>
          <w:iCs/>
          <w:sz w:val="24"/>
          <w:szCs w:val="24"/>
        </w:rPr>
        <w:t>cứu</w:t>
      </w:r>
      <w:proofErr w:type="spellEnd"/>
    </w:p>
    <w:p w14:paraId="6E4FA214" w14:textId="328038A8" w:rsidR="00E04E86" w:rsidRDefault="002A35C2" w:rsidP="008218C1">
      <w:pPr>
        <w:spacing w:before="120" w:after="0" w:line="312" w:lineRule="auto"/>
        <w:ind w:firstLine="720"/>
        <w:jc w:val="both"/>
        <w:rPr>
          <w:rFonts w:ascii="Times New Roman" w:hAnsi="Times New Roman" w:cs="Times New Roman"/>
          <w:sz w:val="24"/>
          <w:szCs w:val="24"/>
        </w:rPr>
      </w:pPr>
      <w:proofErr w:type="spellStart"/>
      <w:r w:rsidRPr="00593435">
        <w:rPr>
          <w:rFonts w:ascii="Times New Roman" w:hAnsi="Times New Roman" w:cs="Times New Roman"/>
          <w:sz w:val="24"/>
          <w:szCs w:val="24"/>
        </w:rPr>
        <w:t>Mô</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hình</w:t>
      </w:r>
      <w:proofErr w:type="spellEnd"/>
      <w:r w:rsidRPr="00593435">
        <w:rPr>
          <w:rFonts w:ascii="Times New Roman" w:hAnsi="Times New Roman" w:cs="Times New Roman"/>
          <w:sz w:val="24"/>
          <w:szCs w:val="24"/>
        </w:rPr>
        <w:t xml:space="preserve"> (1)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(3) </w:t>
      </w:r>
      <w:proofErr w:type="spellStart"/>
      <w:r w:rsidRPr="00593435">
        <w:rPr>
          <w:rFonts w:ascii="Times New Roman" w:hAnsi="Times New Roman" w:cs="Times New Roman"/>
          <w:sz w:val="24"/>
          <w:szCs w:val="24"/>
        </w:rPr>
        <w:t>trong</w:t>
      </w:r>
      <w:proofErr w:type="spellEnd"/>
      <w:r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Bảng</w:t>
      </w:r>
      <w:proofErr w:type="spellEnd"/>
      <w:r w:rsidR="00E04E86" w:rsidRPr="00593435">
        <w:rPr>
          <w:rFonts w:ascii="Times New Roman" w:hAnsi="Times New Roman" w:cs="Times New Roman"/>
          <w:sz w:val="24"/>
          <w:szCs w:val="24"/>
        </w:rPr>
        <w:t xml:space="preserve"> 3 </w:t>
      </w:r>
      <w:proofErr w:type="spellStart"/>
      <w:r w:rsidR="00E04E86" w:rsidRPr="00593435">
        <w:rPr>
          <w:rFonts w:ascii="Times New Roman" w:hAnsi="Times New Roman" w:cs="Times New Roman"/>
          <w:sz w:val="24"/>
          <w:szCs w:val="24"/>
        </w:rPr>
        <w:t>thể</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hiện</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tác</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động</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của</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bình</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đẳng</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giới</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trong</w:t>
      </w:r>
      <w:proofErr w:type="spellEnd"/>
      <w:r w:rsidR="00E04E86" w:rsidRPr="00593435">
        <w:rPr>
          <w:rFonts w:ascii="Times New Roman" w:hAnsi="Times New Roman" w:cs="Times New Roman"/>
          <w:sz w:val="24"/>
          <w:szCs w:val="24"/>
        </w:rPr>
        <w:t xml:space="preserve"> HĐQT </w:t>
      </w:r>
      <w:proofErr w:type="spellStart"/>
      <w:r w:rsidR="00E04E86" w:rsidRPr="00593435">
        <w:rPr>
          <w:rFonts w:ascii="Times New Roman" w:hAnsi="Times New Roman" w:cs="Times New Roman"/>
          <w:sz w:val="24"/>
          <w:szCs w:val="24"/>
        </w:rPr>
        <w:t>đối</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với</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hiệu</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quả</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lợi</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nhuận</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và</w:t>
      </w:r>
      <w:proofErr w:type="spellEnd"/>
      <w:r w:rsidR="00E04E86" w:rsidRPr="00593435">
        <w:rPr>
          <w:rFonts w:ascii="Times New Roman" w:hAnsi="Times New Roman" w:cs="Times New Roman"/>
          <w:sz w:val="24"/>
          <w:szCs w:val="24"/>
        </w:rPr>
        <w:t xml:space="preserve"> chi </w:t>
      </w:r>
      <w:proofErr w:type="spellStart"/>
      <w:r w:rsidR="00E04E86" w:rsidRPr="00593435">
        <w:rPr>
          <w:rFonts w:ascii="Times New Roman" w:hAnsi="Times New Roman" w:cs="Times New Roman"/>
          <w:sz w:val="24"/>
          <w:szCs w:val="24"/>
        </w:rPr>
        <w:t>phí</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của</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ngân</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hàng</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Kết</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quả</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cho</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thấy</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chỉ</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số</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Blau</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có</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quan</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hệ</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cùng</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chiều</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với</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hiệu</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quả</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lợi</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nhuận</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và</w:t>
      </w:r>
      <w:proofErr w:type="spellEnd"/>
      <w:r w:rsidR="00E04E86" w:rsidRPr="00593435">
        <w:rPr>
          <w:rFonts w:ascii="Times New Roman" w:hAnsi="Times New Roman" w:cs="Times New Roman"/>
          <w:sz w:val="24"/>
          <w:szCs w:val="24"/>
        </w:rPr>
        <w:t xml:space="preserve"> chi </w:t>
      </w:r>
      <w:proofErr w:type="spellStart"/>
      <w:r w:rsidR="00E04E86" w:rsidRPr="00593435">
        <w:rPr>
          <w:rFonts w:ascii="Times New Roman" w:hAnsi="Times New Roman" w:cs="Times New Roman"/>
          <w:sz w:val="24"/>
          <w:szCs w:val="24"/>
        </w:rPr>
        <w:t>phí</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của</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ngân</w:t>
      </w:r>
      <w:proofErr w:type="spellEnd"/>
      <w:r w:rsidR="00E04E86" w:rsidRPr="00593435">
        <w:rPr>
          <w:rFonts w:ascii="Times New Roman" w:hAnsi="Times New Roman" w:cs="Times New Roman"/>
          <w:sz w:val="24"/>
          <w:szCs w:val="24"/>
        </w:rPr>
        <w:t xml:space="preserve"> </w:t>
      </w:r>
      <w:proofErr w:type="spellStart"/>
      <w:r w:rsidR="00C75B9B">
        <w:rPr>
          <w:rFonts w:ascii="Times New Roman" w:hAnsi="Times New Roman" w:cs="Times New Roman"/>
          <w:sz w:val="24"/>
          <w:szCs w:val="24"/>
        </w:rPr>
        <w:t>hàng</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Cụ</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thể</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đối</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với</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hiệu</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quả</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lợi</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nhuận</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Blau</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có</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hệ</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số</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hồi</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quy</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là</w:t>
      </w:r>
      <w:proofErr w:type="spellEnd"/>
      <w:r w:rsidR="00E04E86" w:rsidRPr="00593435">
        <w:rPr>
          <w:rFonts w:ascii="Times New Roman" w:hAnsi="Times New Roman" w:cs="Times New Roman"/>
          <w:sz w:val="24"/>
          <w:szCs w:val="24"/>
        </w:rPr>
        <w:t xml:space="preserve"> 1,590 </w:t>
      </w:r>
      <w:proofErr w:type="spellStart"/>
      <w:r w:rsidR="00E04E86" w:rsidRPr="00593435">
        <w:rPr>
          <w:rFonts w:ascii="Times New Roman" w:hAnsi="Times New Roman" w:cs="Times New Roman"/>
          <w:sz w:val="24"/>
          <w:szCs w:val="24"/>
        </w:rPr>
        <w:t>và</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có</w:t>
      </w:r>
      <w:proofErr w:type="spellEnd"/>
      <w:r w:rsidR="00E04E86" w:rsidRPr="00593435">
        <w:rPr>
          <w:rFonts w:ascii="Times New Roman" w:hAnsi="Times New Roman" w:cs="Times New Roman"/>
          <w:sz w:val="24"/>
          <w:szCs w:val="24"/>
        </w:rPr>
        <w:t xml:space="preserve"> ý </w:t>
      </w:r>
      <w:proofErr w:type="spellStart"/>
      <w:r w:rsidR="00E04E86" w:rsidRPr="00593435">
        <w:rPr>
          <w:rFonts w:ascii="Times New Roman" w:hAnsi="Times New Roman" w:cs="Times New Roman"/>
          <w:sz w:val="24"/>
          <w:szCs w:val="24"/>
        </w:rPr>
        <w:t>nghĩa</w:t>
      </w:r>
      <w:proofErr w:type="spellEnd"/>
      <w:r w:rsidR="00E04E86" w:rsidRPr="00593435">
        <w:rPr>
          <w:rFonts w:ascii="Times New Roman" w:hAnsi="Times New Roman" w:cs="Times New Roman"/>
          <w:sz w:val="24"/>
          <w:szCs w:val="24"/>
        </w:rPr>
        <w:t xml:space="preserve"> ở </w:t>
      </w:r>
      <w:proofErr w:type="spellStart"/>
      <w:r w:rsidR="00E04E86" w:rsidRPr="00593435">
        <w:rPr>
          <w:rFonts w:ascii="Times New Roman" w:hAnsi="Times New Roman" w:cs="Times New Roman"/>
          <w:sz w:val="24"/>
          <w:szCs w:val="24"/>
        </w:rPr>
        <w:t>mức</w:t>
      </w:r>
      <w:proofErr w:type="spellEnd"/>
      <w:r w:rsidR="00E04E86" w:rsidRPr="00593435">
        <w:rPr>
          <w:rFonts w:ascii="Times New Roman" w:hAnsi="Times New Roman" w:cs="Times New Roman"/>
          <w:sz w:val="24"/>
          <w:szCs w:val="24"/>
        </w:rPr>
        <w:t xml:space="preserve"> 1%; </w:t>
      </w:r>
      <w:proofErr w:type="spellStart"/>
      <w:r w:rsidR="00E04E86" w:rsidRPr="00593435">
        <w:rPr>
          <w:rFonts w:ascii="Times New Roman" w:hAnsi="Times New Roman" w:cs="Times New Roman"/>
          <w:sz w:val="24"/>
          <w:szCs w:val="24"/>
        </w:rPr>
        <w:t>đối</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với</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hiệu</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quả</w:t>
      </w:r>
      <w:proofErr w:type="spellEnd"/>
      <w:r w:rsidR="00E04E86" w:rsidRPr="00593435">
        <w:rPr>
          <w:rFonts w:ascii="Times New Roman" w:hAnsi="Times New Roman" w:cs="Times New Roman"/>
          <w:sz w:val="24"/>
          <w:szCs w:val="24"/>
        </w:rPr>
        <w:t xml:space="preserve"> chi </w:t>
      </w:r>
      <w:proofErr w:type="spellStart"/>
      <w:r w:rsidR="00E04E86" w:rsidRPr="00593435">
        <w:rPr>
          <w:rFonts w:ascii="Times New Roman" w:hAnsi="Times New Roman" w:cs="Times New Roman"/>
          <w:sz w:val="24"/>
          <w:szCs w:val="24"/>
        </w:rPr>
        <w:t>phí</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Blau</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có</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hệ</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số</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là</w:t>
      </w:r>
      <w:proofErr w:type="spellEnd"/>
      <w:r w:rsidR="00E04E86" w:rsidRPr="00593435">
        <w:rPr>
          <w:rFonts w:ascii="Times New Roman" w:hAnsi="Times New Roman" w:cs="Times New Roman"/>
          <w:sz w:val="24"/>
          <w:szCs w:val="24"/>
        </w:rPr>
        <w:t xml:space="preserve"> 0,066 </w:t>
      </w:r>
      <w:proofErr w:type="spellStart"/>
      <w:r w:rsidR="00E04E86" w:rsidRPr="00593435">
        <w:rPr>
          <w:rFonts w:ascii="Times New Roman" w:hAnsi="Times New Roman" w:cs="Times New Roman"/>
          <w:sz w:val="24"/>
          <w:szCs w:val="24"/>
        </w:rPr>
        <w:t>và</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có</w:t>
      </w:r>
      <w:proofErr w:type="spellEnd"/>
      <w:r w:rsidR="00E04E86" w:rsidRPr="00593435">
        <w:rPr>
          <w:rFonts w:ascii="Times New Roman" w:hAnsi="Times New Roman" w:cs="Times New Roman"/>
          <w:sz w:val="24"/>
          <w:szCs w:val="24"/>
        </w:rPr>
        <w:t xml:space="preserve"> ý </w:t>
      </w:r>
      <w:proofErr w:type="spellStart"/>
      <w:r w:rsidR="00E04E86" w:rsidRPr="00593435">
        <w:rPr>
          <w:rFonts w:ascii="Times New Roman" w:hAnsi="Times New Roman" w:cs="Times New Roman"/>
          <w:sz w:val="24"/>
          <w:szCs w:val="24"/>
        </w:rPr>
        <w:t>nghĩa</w:t>
      </w:r>
      <w:proofErr w:type="spellEnd"/>
      <w:r w:rsidR="00E04E86" w:rsidRPr="00593435">
        <w:rPr>
          <w:rFonts w:ascii="Times New Roman" w:hAnsi="Times New Roman" w:cs="Times New Roman"/>
          <w:sz w:val="24"/>
          <w:szCs w:val="24"/>
        </w:rPr>
        <w:t xml:space="preserve"> ở </w:t>
      </w:r>
      <w:proofErr w:type="spellStart"/>
      <w:r w:rsidR="00E04E86" w:rsidRPr="00593435">
        <w:rPr>
          <w:rFonts w:ascii="Times New Roman" w:hAnsi="Times New Roman" w:cs="Times New Roman"/>
          <w:sz w:val="24"/>
          <w:szCs w:val="24"/>
        </w:rPr>
        <w:t>mức</w:t>
      </w:r>
      <w:proofErr w:type="spellEnd"/>
      <w:r w:rsidR="00E04E86" w:rsidRPr="00593435">
        <w:rPr>
          <w:rFonts w:ascii="Times New Roman" w:hAnsi="Times New Roman" w:cs="Times New Roman"/>
          <w:sz w:val="24"/>
          <w:szCs w:val="24"/>
        </w:rPr>
        <w:t xml:space="preserve"> 5%. </w:t>
      </w:r>
      <w:proofErr w:type="spellStart"/>
      <w:r w:rsidR="00E04E86" w:rsidRPr="00593435">
        <w:rPr>
          <w:rFonts w:ascii="Times New Roman" w:hAnsi="Times New Roman" w:cs="Times New Roman"/>
          <w:sz w:val="24"/>
          <w:szCs w:val="24"/>
        </w:rPr>
        <w:t>Điều</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này</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chỉ</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ra</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rằng</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các</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ngân</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hàng</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có</w:t>
      </w:r>
      <w:proofErr w:type="spellEnd"/>
      <w:r w:rsidR="00E04E86" w:rsidRPr="00593435">
        <w:rPr>
          <w:rFonts w:ascii="Times New Roman" w:hAnsi="Times New Roman" w:cs="Times New Roman"/>
          <w:sz w:val="24"/>
          <w:szCs w:val="24"/>
        </w:rPr>
        <w:t xml:space="preserve"> HĐQT </w:t>
      </w:r>
      <w:proofErr w:type="spellStart"/>
      <w:r w:rsidR="00E04E86" w:rsidRPr="00593435">
        <w:rPr>
          <w:rFonts w:ascii="Times New Roman" w:hAnsi="Times New Roman" w:cs="Times New Roman"/>
          <w:sz w:val="24"/>
          <w:szCs w:val="24"/>
        </w:rPr>
        <w:t>đa</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dạng</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về</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giới</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hơn</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thường</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có</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hiệu</w:t>
      </w:r>
      <w:proofErr w:type="spellEnd"/>
      <w:r w:rsidR="00E04E86" w:rsidRPr="00593435">
        <w:rPr>
          <w:rFonts w:ascii="Times New Roman" w:hAnsi="Times New Roman" w:cs="Times New Roman"/>
          <w:sz w:val="24"/>
          <w:szCs w:val="24"/>
        </w:rPr>
        <w:t xml:space="preserve"> </w:t>
      </w:r>
      <w:proofErr w:type="spellStart"/>
      <w:r w:rsidR="00D042FA">
        <w:rPr>
          <w:rFonts w:ascii="Times New Roman" w:hAnsi="Times New Roman" w:cs="Times New Roman"/>
          <w:sz w:val="24"/>
          <w:szCs w:val="24"/>
        </w:rPr>
        <w:t>quả</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lợi</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nhuận</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và</w:t>
      </w:r>
      <w:proofErr w:type="spellEnd"/>
      <w:r w:rsidR="00E04E86" w:rsidRPr="00593435">
        <w:rPr>
          <w:rFonts w:ascii="Times New Roman" w:hAnsi="Times New Roman" w:cs="Times New Roman"/>
          <w:sz w:val="24"/>
          <w:szCs w:val="24"/>
        </w:rPr>
        <w:t xml:space="preserve"> chi </w:t>
      </w:r>
      <w:proofErr w:type="spellStart"/>
      <w:r w:rsidR="00E04E86" w:rsidRPr="00593435">
        <w:rPr>
          <w:rFonts w:ascii="Times New Roman" w:hAnsi="Times New Roman" w:cs="Times New Roman"/>
          <w:sz w:val="24"/>
          <w:szCs w:val="24"/>
        </w:rPr>
        <w:t>phí</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cao</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hơn</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Những</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kết</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quả</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này</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có</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thể</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được</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giải</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thích</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dựa</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trên</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lý</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thuyết</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về</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sự</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phụ</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thuộc</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nguồn</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lực</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trong</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đó</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lập</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luận</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rằng</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các</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nữ</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thành</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viên</w:t>
      </w:r>
      <w:proofErr w:type="spellEnd"/>
      <w:r w:rsidR="00E04E86" w:rsidRPr="00593435">
        <w:rPr>
          <w:rFonts w:ascii="Times New Roman" w:hAnsi="Times New Roman" w:cs="Times New Roman"/>
          <w:sz w:val="24"/>
          <w:szCs w:val="24"/>
        </w:rPr>
        <w:t xml:space="preserve"> </w:t>
      </w:r>
      <w:r w:rsidR="00584F74" w:rsidRPr="00593435">
        <w:rPr>
          <w:rFonts w:ascii="Times New Roman" w:hAnsi="Times New Roman" w:cs="Times New Roman"/>
          <w:sz w:val="24"/>
          <w:szCs w:val="24"/>
        </w:rPr>
        <w:t xml:space="preserve">HĐQT </w:t>
      </w:r>
      <w:proofErr w:type="spellStart"/>
      <w:r w:rsidR="00584F74" w:rsidRPr="00593435">
        <w:rPr>
          <w:rFonts w:ascii="Times New Roman" w:hAnsi="Times New Roman" w:cs="Times New Roman"/>
          <w:sz w:val="24"/>
          <w:szCs w:val="24"/>
        </w:rPr>
        <w:t>giúp</w:t>
      </w:r>
      <w:proofErr w:type="spellEnd"/>
      <w:r w:rsidR="00584F74" w:rsidRPr="00593435">
        <w:rPr>
          <w:rFonts w:ascii="Times New Roman" w:hAnsi="Times New Roman" w:cs="Times New Roman"/>
          <w:sz w:val="24"/>
          <w:szCs w:val="24"/>
        </w:rPr>
        <w:t xml:space="preserve"> </w:t>
      </w:r>
      <w:proofErr w:type="spellStart"/>
      <w:r w:rsidR="00584F74" w:rsidRPr="00593435">
        <w:rPr>
          <w:rFonts w:ascii="Times New Roman" w:hAnsi="Times New Roman" w:cs="Times New Roman"/>
          <w:sz w:val="24"/>
          <w:szCs w:val="24"/>
        </w:rPr>
        <w:t>doanh</w:t>
      </w:r>
      <w:proofErr w:type="spellEnd"/>
      <w:r w:rsidR="00584F74" w:rsidRPr="00593435">
        <w:rPr>
          <w:rFonts w:ascii="Times New Roman" w:hAnsi="Times New Roman" w:cs="Times New Roman"/>
          <w:sz w:val="24"/>
          <w:szCs w:val="24"/>
        </w:rPr>
        <w:t xml:space="preserve"> </w:t>
      </w:r>
      <w:proofErr w:type="spellStart"/>
      <w:r w:rsidR="00584F74" w:rsidRPr="00593435">
        <w:rPr>
          <w:rFonts w:ascii="Times New Roman" w:hAnsi="Times New Roman" w:cs="Times New Roman"/>
          <w:sz w:val="24"/>
          <w:szCs w:val="24"/>
        </w:rPr>
        <w:t>nghiệp</w:t>
      </w:r>
      <w:proofErr w:type="spellEnd"/>
      <w:r w:rsidR="00584F74" w:rsidRPr="00593435">
        <w:rPr>
          <w:rFonts w:ascii="Times New Roman" w:hAnsi="Times New Roman" w:cs="Times New Roman"/>
          <w:sz w:val="24"/>
          <w:szCs w:val="24"/>
        </w:rPr>
        <w:t xml:space="preserve"> </w:t>
      </w:r>
      <w:proofErr w:type="spellStart"/>
      <w:r w:rsidR="00584F74" w:rsidRPr="00593435">
        <w:rPr>
          <w:rFonts w:ascii="Times New Roman" w:hAnsi="Times New Roman" w:cs="Times New Roman"/>
          <w:sz w:val="24"/>
          <w:szCs w:val="24"/>
        </w:rPr>
        <w:t>tiếp</w:t>
      </w:r>
      <w:proofErr w:type="spellEnd"/>
      <w:r w:rsidR="00584F74" w:rsidRPr="00593435">
        <w:rPr>
          <w:rFonts w:ascii="Times New Roman" w:hAnsi="Times New Roman" w:cs="Times New Roman"/>
          <w:sz w:val="24"/>
          <w:szCs w:val="24"/>
        </w:rPr>
        <w:t xml:space="preserve"> </w:t>
      </w:r>
      <w:proofErr w:type="spellStart"/>
      <w:r w:rsidR="00584F74" w:rsidRPr="00593435">
        <w:rPr>
          <w:rFonts w:ascii="Times New Roman" w:hAnsi="Times New Roman" w:cs="Times New Roman"/>
          <w:sz w:val="24"/>
          <w:szCs w:val="24"/>
        </w:rPr>
        <w:t>cận</w:t>
      </w:r>
      <w:proofErr w:type="spellEnd"/>
      <w:r w:rsidR="00E04E86" w:rsidRPr="00593435">
        <w:rPr>
          <w:rFonts w:ascii="Times New Roman" w:hAnsi="Times New Roman" w:cs="Times New Roman"/>
          <w:sz w:val="24"/>
          <w:szCs w:val="24"/>
        </w:rPr>
        <w:t xml:space="preserve"> </w:t>
      </w:r>
      <w:proofErr w:type="spellStart"/>
      <w:r w:rsidR="00584F74" w:rsidRPr="00593435">
        <w:rPr>
          <w:rFonts w:ascii="Times New Roman" w:hAnsi="Times New Roman" w:cs="Times New Roman"/>
          <w:sz w:val="24"/>
          <w:szCs w:val="24"/>
        </w:rPr>
        <w:t>nhiều</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nguồn</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lực</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quan</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trọng</w:t>
      </w:r>
      <w:proofErr w:type="spellEnd"/>
      <w:r w:rsidR="00E04E86" w:rsidRPr="00593435">
        <w:rPr>
          <w:rFonts w:ascii="Times New Roman" w:hAnsi="Times New Roman" w:cs="Times New Roman"/>
          <w:sz w:val="24"/>
          <w:szCs w:val="24"/>
        </w:rPr>
        <w:t xml:space="preserve">. </w:t>
      </w:r>
      <w:r w:rsidR="00584F74" w:rsidRPr="00593435">
        <w:rPr>
          <w:rFonts w:ascii="Times New Roman" w:hAnsi="Times New Roman" w:cs="Times New Roman"/>
          <w:sz w:val="24"/>
          <w:szCs w:val="24"/>
        </w:rPr>
        <w:t xml:space="preserve">Do </w:t>
      </w:r>
      <w:proofErr w:type="spellStart"/>
      <w:r w:rsidR="00584F74" w:rsidRPr="00593435">
        <w:rPr>
          <w:rFonts w:ascii="Times New Roman" w:hAnsi="Times New Roman" w:cs="Times New Roman"/>
          <w:sz w:val="24"/>
          <w:szCs w:val="24"/>
        </w:rPr>
        <w:t>đó</w:t>
      </w:r>
      <w:proofErr w:type="spellEnd"/>
      <w:r w:rsidR="00584F74" w:rsidRPr="00593435">
        <w:rPr>
          <w:rFonts w:ascii="Times New Roman" w:hAnsi="Times New Roman" w:cs="Times New Roman"/>
          <w:sz w:val="24"/>
          <w:szCs w:val="24"/>
        </w:rPr>
        <w:t>,</w:t>
      </w:r>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các</w:t>
      </w:r>
      <w:proofErr w:type="spellEnd"/>
      <w:r w:rsidR="00E04E86" w:rsidRPr="00593435">
        <w:rPr>
          <w:rFonts w:ascii="Times New Roman" w:hAnsi="Times New Roman" w:cs="Times New Roman"/>
          <w:sz w:val="24"/>
          <w:szCs w:val="24"/>
        </w:rPr>
        <w:t xml:space="preserve"> HĐQT </w:t>
      </w:r>
      <w:proofErr w:type="spellStart"/>
      <w:r w:rsidR="00E04E86" w:rsidRPr="00593435">
        <w:rPr>
          <w:rFonts w:ascii="Times New Roman" w:hAnsi="Times New Roman" w:cs="Times New Roman"/>
          <w:sz w:val="24"/>
          <w:szCs w:val="24"/>
        </w:rPr>
        <w:t>đa</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dạng</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về</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giới</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có</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thể</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đưa</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ra</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các</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quyết</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định</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tốt</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hơn</w:t>
      </w:r>
      <w:proofErr w:type="spellEnd"/>
      <w:r w:rsidR="00584F74"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và</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tăng</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cường</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các</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mối</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quan</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hệ</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với</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các</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bên</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liên</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quan</w:t>
      </w:r>
      <w:proofErr w:type="spellEnd"/>
      <w:r w:rsidR="00E04E86" w:rsidRPr="00593435">
        <w:rPr>
          <w:rFonts w:ascii="Times New Roman" w:hAnsi="Times New Roman" w:cs="Times New Roman"/>
          <w:sz w:val="24"/>
          <w:szCs w:val="24"/>
        </w:rPr>
        <w:t xml:space="preserve"> (Hillman </w:t>
      </w:r>
      <w:proofErr w:type="spellStart"/>
      <w:r w:rsidR="00E04E86" w:rsidRPr="00593435">
        <w:rPr>
          <w:rFonts w:ascii="Times New Roman" w:hAnsi="Times New Roman" w:cs="Times New Roman"/>
          <w:sz w:val="24"/>
          <w:szCs w:val="24"/>
        </w:rPr>
        <w:t>và</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cộng</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sự</w:t>
      </w:r>
      <w:proofErr w:type="spellEnd"/>
      <w:r w:rsidR="00E04E86" w:rsidRPr="00593435">
        <w:rPr>
          <w:rFonts w:ascii="Times New Roman" w:hAnsi="Times New Roman" w:cs="Times New Roman"/>
          <w:sz w:val="24"/>
          <w:szCs w:val="24"/>
        </w:rPr>
        <w:t xml:space="preserve">, 2007), </w:t>
      </w:r>
      <w:proofErr w:type="spellStart"/>
      <w:r w:rsidR="00E04E86" w:rsidRPr="00593435">
        <w:rPr>
          <w:rFonts w:ascii="Times New Roman" w:hAnsi="Times New Roman" w:cs="Times New Roman"/>
          <w:sz w:val="24"/>
          <w:szCs w:val="24"/>
        </w:rPr>
        <w:t>mang</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lại</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lợi</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nhuận</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cao</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hơn</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và</w:t>
      </w:r>
      <w:proofErr w:type="spellEnd"/>
      <w:r w:rsidR="00E04E86" w:rsidRPr="00593435">
        <w:rPr>
          <w:rFonts w:ascii="Times New Roman" w:hAnsi="Times New Roman" w:cs="Times New Roman"/>
          <w:sz w:val="24"/>
          <w:szCs w:val="24"/>
        </w:rPr>
        <w:t xml:space="preserve"> chi </w:t>
      </w:r>
      <w:proofErr w:type="spellStart"/>
      <w:r w:rsidR="00E04E86" w:rsidRPr="00593435">
        <w:rPr>
          <w:rFonts w:ascii="Times New Roman" w:hAnsi="Times New Roman" w:cs="Times New Roman"/>
          <w:sz w:val="24"/>
          <w:szCs w:val="24"/>
        </w:rPr>
        <w:t>phí</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thấp</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hơn</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Kết</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quả</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này</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phù</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hợp</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với</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các</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nghiên</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cứu</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trước</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đây</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về</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việc</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ủng</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hộ</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lợi</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ích</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của</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các</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giám</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đốc</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nữ</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trong</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việc</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nâng</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cao</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khả</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năng</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sinh</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lời</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của</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ngân</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hàng</w:t>
      </w:r>
      <w:proofErr w:type="spellEnd"/>
      <w:r w:rsidR="00E04E86" w:rsidRPr="00593435">
        <w:rPr>
          <w:rFonts w:ascii="Times New Roman" w:hAnsi="Times New Roman" w:cs="Times New Roman"/>
          <w:sz w:val="24"/>
          <w:szCs w:val="24"/>
        </w:rPr>
        <w:t xml:space="preserve"> (Cardillo </w:t>
      </w:r>
      <w:proofErr w:type="spellStart"/>
      <w:r w:rsidR="00E04E86" w:rsidRPr="00593435">
        <w:rPr>
          <w:rFonts w:ascii="Times New Roman" w:hAnsi="Times New Roman" w:cs="Times New Roman"/>
          <w:sz w:val="24"/>
          <w:szCs w:val="24"/>
        </w:rPr>
        <w:t>và</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cộng</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sự</w:t>
      </w:r>
      <w:proofErr w:type="spellEnd"/>
      <w:r w:rsidR="00E04E86" w:rsidRPr="00593435">
        <w:rPr>
          <w:rFonts w:ascii="Times New Roman" w:hAnsi="Times New Roman" w:cs="Times New Roman"/>
          <w:sz w:val="24"/>
          <w:szCs w:val="24"/>
        </w:rPr>
        <w:t>, 2020; García-</w:t>
      </w:r>
      <w:proofErr w:type="spellStart"/>
      <w:r w:rsidR="00E04E86" w:rsidRPr="00593435">
        <w:rPr>
          <w:rFonts w:ascii="Times New Roman" w:hAnsi="Times New Roman" w:cs="Times New Roman"/>
          <w:sz w:val="24"/>
          <w:szCs w:val="24"/>
        </w:rPr>
        <w:t>Meca</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và</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cộng</w:t>
      </w:r>
      <w:proofErr w:type="spellEnd"/>
      <w:r w:rsidR="00E04E86" w:rsidRPr="00593435">
        <w:rPr>
          <w:rFonts w:ascii="Times New Roman" w:hAnsi="Times New Roman" w:cs="Times New Roman"/>
          <w:sz w:val="24"/>
          <w:szCs w:val="24"/>
        </w:rPr>
        <w:t xml:space="preserve"> </w:t>
      </w:r>
      <w:proofErr w:type="spellStart"/>
      <w:r w:rsidR="00E04E86" w:rsidRPr="00593435">
        <w:rPr>
          <w:rFonts w:ascii="Times New Roman" w:hAnsi="Times New Roman" w:cs="Times New Roman"/>
          <w:sz w:val="24"/>
          <w:szCs w:val="24"/>
        </w:rPr>
        <w:t>sự</w:t>
      </w:r>
      <w:proofErr w:type="spellEnd"/>
      <w:r w:rsidR="00E04E86" w:rsidRPr="00593435">
        <w:rPr>
          <w:rFonts w:ascii="Times New Roman" w:hAnsi="Times New Roman" w:cs="Times New Roman"/>
          <w:sz w:val="24"/>
          <w:szCs w:val="24"/>
        </w:rPr>
        <w:t>, 2015; Pathan &amp; Faff, 2013).</w:t>
      </w:r>
    </w:p>
    <w:p w14:paraId="3E47DEA3" w14:textId="237C841E" w:rsidR="00826C26" w:rsidRPr="00C1008C" w:rsidRDefault="00826C26" w:rsidP="008218C1">
      <w:pPr>
        <w:spacing w:before="120" w:after="0" w:line="312" w:lineRule="auto"/>
        <w:jc w:val="both"/>
        <w:rPr>
          <w:rFonts w:ascii="Times New Roman" w:hAnsi="Times New Roman" w:cs="Times New Roman"/>
          <w:i/>
          <w:iCs/>
          <w:sz w:val="24"/>
          <w:szCs w:val="24"/>
          <w:lang w:val="vi-VN"/>
        </w:rPr>
      </w:pPr>
      <w:r w:rsidRPr="00C1008C">
        <w:rPr>
          <w:rFonts w:ascii="Times New Roman" w:hAnsi="Times New Roman" w:cs="Times New Roman"/>
          <w:i/>
          <w:iCs/>
          <w:sz w:val="24"/>
          <w:szCs w:val="24"/>
          <w:lang w:val="vi-VN"/>
        </w:rPr>
        <w:lastRenderedPageBreak/>
        <w:t xml:space="preserve">Bảng </w:t>
      </w:r>
      <w:r w:rsidR="002A35C2" w:rsidRPr="00C1008C">
        <w:rPr>
          <w:rFonts w:ascii="Times New Roman" w:hAnsi="Times New Roman" w:cs="Times New Roman"/>
          <w:i/>
          <w:iCs/>
          <w:sz w:val="24"/>
          <w:szCs w:val="24"/>
          <w:lang w:val="vi-VN"/>
        </w:rPr>
        <w:t>3</w:t>
      </w:r>
      <w:r w:rsidR="00D177F5" w:rsidRPr="00C1008C">
        <w:rPr>
          <w:rFonts w:ascii="Times New Roman" w:hAnsi="Times New Roman" w:cs="Times New Roman"/>
          <w:i/>
          <w:iCs/>
          <w:sz w:val="24"/>
          <w:szCs w:val="24"/>
          <w:lang w:val="vi-VN"/>
        </w:rPr>
        <w:t xml:space="preserve">: Kết quả của </w:t>
      </w:r>
      <w:r w:rsidR="002A35C2" w:rsidRPr="00C1008C">
        <w:rPr>
          <w:rFonts w:ascii="Times New Roman" w:hAnsi="Times New Roman" w:cs="Times New Roman"/>
          <w:i/>
          <w:iCs/>
          <w:sz w:val="24"/>
          <w:szCs w:val="24"/>
          <w:lang w:val="vi-VN"/>
        </w:rPr>
        <w:t>nghiên cứu</w:t>
      </w:r>
    </w:p>
    <w:tbl>
      <w:tblPr>
        <w:tblW w:w="9197" w:type="dxa"/>
        <w:tblLook w:val="04A0" w:firstRow="1" w:lastRow="0" w:firstColumn="1" w:lastColumn="0" w:noHBand="0" w:noVBand="1"/>
      </w:tblPr>
      <w:tblGrid>
        <w:gridCol w:w="37"/>
        <w:gridCol w:w="2522"/>
        <w:gridCol w:w="1627"/>
        <w:gridCol w:w="1411"/>
        <w:gridCol w:w="1735"/>
        <w:gridCol w:w="1865"/>
      </w:tblGrid>
      <w:tr w:rsidR="002B218A" w:rsidRPr="00C1008C" w14:paraId="4C66C9B5" w14:textId="77777777" w:rsidTr="00736FF9">
        <w:trPr>
          <w:gridBefore w:val="1"/>
          <w:wBefore w:w="37" w:type="dxa"/>
          <w:trHeight w:val="279"/>
        </w:trPr>
        <w:tc>
          <w:tcPr>
            <w:tcW w:w="2522" w:type="dxa"/>
            <w:tcBorders>
              <w:top w:val="single" w:sz="4" w:space="0" w:color="auto"/>
              <w:bottom w:val="single" w:sz="4" w:space="0" w:color="auto"/>
            </w:tcBorders>
            <w:shd w:val="clear" w:color="auto" w:fill="auto"/>
            <w:noWrap/>
            <w:vAlign w:val="bottom"/>
            <w:hideMark/>
          </w:tcPr>
          <w:p w14:paraId="330FD900" w14:textId="77777777" w:rsidR="002B218A" w:rsidRPr="00C1008C" w:rsidRDefault="002B218A" w:rsidP="00906EA2">
            <w:pPr>
              <w:spacing w:after="0" w:line="240" w:lineRule="auto"/>
              <w:rPr>
                <w:rFonts w:ascii="Times New Roman" w:eastAsia="Times New Roman" w:hAnsi="Times New Roman" w:cs="Times New Roman"/>
                <w:color w:val="000000"/>
                <w:sz w:val="24"/>
                <w:szCs w:val="24"/>
                <w:lang w:val="vi-VN"/>
              </w:rPr>
            </w:pPr>
            <w:r w:rsidRPr="00C1008C">
              <w:rPr>
                <w:rFonts w:ascii="Times New Roman" w:eastAsia="Times New Roman" w:hAnsi="Times New Roman" w:cs="Times New Roman"/>
                <w:color w:val="000000"/>
                <w:sz w:val="24"/>
                <w:szCs w:val="24"/>
                <w:lang w:val="vi-VN"/>
              </w:rPr>
              <w:t> </w:t>
            </w:r>
          </w:p>
        </w:tc>
        <w:tc>
          <w:tcPr>
            <w:tcW w:w="1627" w:type="dxa"/>
            <w:tcBorders>
              <w:top w:val="single" w:sz="4" w:space="0" w:color="auto"/>
              <w:bottom w:val="single" w:sz="4" w:space="0" w:color="auto"/>
            </w:tcBorders>
            <w:shd w:val="clear" w:color="auto" w:fill="auto"/>
            <w:noWrap/>
            <w:vAlign w:val="bottom"/>
            <w:hideMark/>
          </w:tcPr>
          <w:p w14:paraId="0204A82D" w14:textId="40ED6A01"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w:t>
            </w:r>
          </w:p>
        </w:tc>
        <w:tc>
          <w:tcPr>
            <w:tcW w:w="1411" w:type="dxa"/>
            <w:tcBorders>
              <w:top w:val="single" w:sz="4" w:space="0" w:color="auto"/>
              <w:bottom w:val="single" w:sz="4" w:space="0" w:color="auto"/>
            </w:tcBorders>
          </w:tcPr>
          <w:p w14:paraId="07B46B4B"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w:t>
            </w:r>
          </w:p>
        </w:tc>
        <w:tc>
          <w:tcPr>
            <w:tcW w:w="1735" w:type="dxa"/>
            <w:tcBorders>
              <w:top w:val="single" w:sz="4" w:space="0" w:color="auto"/>
              <w:bottom w:val="single" w:sz="4" w:space="0" w:color="auto"/>
            </w:tcBorders>
            <w:shd w:val="clear" w:color="auto" w:fill="auto"/>
            <w:noWrap/>
            <w:vAlign w:val="bottom"/>
            <w:hideMark/>
          </w:tcPr>
          <w:p w14:paraId="2F84BE6B" w14:textId="6F0883EC"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(3)</w:t>
            </w:r>
          </w:p>
        </w:tc>
        <w:tc>
          <w:tcPr>
            <w:tcW w:w="1865" w:type="dxa"/>
            <w:tcBorders>
              <w:top w:val="single" w:sz="4" w:space="0" w:color="auto"/>
              <w:bottom w:val="single" w:sz="4" w:space="0" w:color="auto"/>
            </w:tcBorders>
          </w:tcPr>
          <w:p w14:paraId="1289D2C0"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w:t>
            </w:r>
          </w:p>
        </w:tc>
      </w:tr>
      <w:tr w:rsidR="002B218A" w:rsidRPr="00C1008C" w14:paraId="5F7091F4" w14:textId="77777777" w:rsidTr="00736FF9">
        <w:trPr>
          <w:gridBefore w:val="1"/>
          <w:wBefore w:w="37" w:type="dxa"/>
          <w:trHeight w:val="279"/>
        </w:trPr>
        <w:tc>
          <w:tcPr>
            <w:tcW w:w="2522" w:type="dxa"/>
            <w:tcBorders>
              <w:top w:val="single" w:sz="4" w:space="0" w:color="auto"/>
            </w:tcBorders>
            <w:shd w:val="clear" w:color="auto" w:fill="auto"/>
            <w:noWrap/>
            <w:vAlign w:val="bottom"/>
            <w:hideMark/>
          </w:tcPr>
          <w:p w14:paraId="1E54FE8F" w14:textId="77777777" w:rsidR="002B218A" w:rsidRPr="00C1008C" w:rsidRDefault="002B218A" w:rsidP="00906EA2">
            <w:pPr>
              <w:spacing w:after="0" w:line="240" w:lineRule="auto"/>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BLAU</w:t>
            </w:r>
          </w:p>
        </w:tc>
        <w:tc>
          <w:tcPr>
            <w:tcW w:w="1627" w:type="dxa"/>
            <w:tcBorders>
              <w:top w:val="single" w:sz="4" w:space="0" w:color="auto"/>
            </w:tcBorders>
            <w:shd w:val="clear" w:color="auto" w:fill="auto"/>
            <w:noWrap/>
            <w:vAlign w:val="bottom"/>
            <w:hideMark/>
          </w:tcPr>
          <w:p w14:paraId="3DB66EFE"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1.590***</w:t>
            </w:r>
          </w:p>
        </w:tc>
        <w:tc>
          <w:tcPr>
            <w:tcW w:w="1411" w:type="dxa"/>
            <w:tcBorders>
              <w:top w:val="single" w:sz="4" w:space="0" w:color="auto"/>
            </w:tcBorders>
            <w:vAlign w:val="bottom"/>
          </w:tcPr>
          <w:p w14:paraId="1ACCE536" w14:textId="5CC2AF43"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6.575***</w:t>
            </w:r>
          </w:p>
        </w:tc>
        <w:tc>
          <w:tcPr>
            <w:tcW w:w="1735" w:type="dxa"/>
            <w:tcBorders>
              <w:top w:val="single" w:sz="4" w:space="0" w:color="auto"/>
            </w:tcBorders>
            <w:shd w:val="clear" w:color="auto" w:fill="auto"/>
            <w:noWrap/>
            <w:vAlign w:val="bottom"/>
          </w:tcPr>
          <w:p w14:paraId="4182016A"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0.066**</w:t>
            </w:r>
          </w:p>
        </w:tc>
        <w:tc>
          <w:tcPr>
            <w:tcW w:w="1865" w:type="dxa"/>
            <w:tcBorders>
              <w:top w:val="single" w:sz="4" w:space="0" w:color="auto"/>
            </w:tcBorders>
            <w:vAlign w:val="bottom"/>
          </w:tcPr>
          <w:p w14:paraId="337D0D36"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0.078***</w:t>
            </w:r>
          </w:p>
        </w:tc>
      </w:tr>
      <w:tr w:rsidR="002B218A" w:rsidRPr="00C1008C" w14:paraId="2238AB50" w14:textId="77777777" w:rsidTr="00736FF9">
        <w:trPr>
          <w:gridBefore w:val="1"/>
          <w:wBefore w:w="37" w:type="dxa"/>
          <w:trHeight w:val="279"/>
        </w:trPr>
        <w:tc>
          <w:tcPr>
            <w:tcW w:w="2522" w:type="dxa"/>
            <w:shd w:val="clear" w:color="auto" w:fill="auto"/>
            <w:noWrap/>
            <w:vAlign w:val="bottom"/>
            <w:hideMark/>
          </w:tcPr>
          <w:p w14:paraId="7C9C2676" w14:textId="77777777" w:rsidR="002B218A" w:rsidRPr="00C1008C" w:rsidRDefault="002B218A" w:rsidP="00906EA2">
            <w:pPr>
              <w:spacing w:after="0" w:line="240" w:lineRule="auto"/>
              <w:rPr>
                <w:rFonts w:ascii="Times New Roman" w:eastAsia="Times New Roman" w:hAnsi="Times New Roman" w:cs="Times New Roman"/>
                <w:color w:val="000000"/>
                <w:sz w:val="24"/>
                <w:szCs w:val="24"/>
              </w:rPr>
            </w:pPr>
          </w:p>
        </w:tc>
        <w:tc>
          <w:tcPr>
            <w:tcW w:w="1627" w:type="dxa"/>
            <w:shd w:val="clear" w:color="auto" w:fill="auto"/>
            <w:noWrap/>
            <w:vAlign w:val="bottom"/>
            <w:hideMark/>
          </w:tcPr>
          <w:p w14:paraId="0D7C817E"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(-5.028)</w:t>
            </w:r>
          </w:p>
        </w:tc>
        <w:tc>
          <w:tcPr>
            <w:tcW w:w="1411" w:type="dxa"/>
            <w:vAlign w:val="bottom"/>
          </w:tcPr>
          <w:p w14:paraId="7C8085BA"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(-18.062)</w:t>
            </w:r>
          </w:p>
        </w:tc>
        <w:tc>
          <w:tcPr>
            <w:tcW w:w="1735" w:type="dxa"/>
            <w:shd w:val="clear" w:color="auto" w:fill="auto"/>
            <w:noWrap/>
            <w:vAlign w:val="bottom"/>
          </w:tcPr>
          <w:p w14:paraId="6997314B"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(-2.054)</w:t>
            </w:r>
          </w:p>
        </w:tc>
        <w:tc>
          <w:tcPr>
            <w:tcW w:w="1865" w:type="dxa"/>
            <w:vAlign w:val="bottom"/>
          </w:tcPr>
          <w:p w14:paraId="684B0CD8"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(-2.728)</w:t>
            </w:r>
          </w:p>
        </w:tc>
      </w:tr>
      <w:tr w:rsidR="002B218A" w:rsidRPr="00C1008C" w14:paraId="16C72362" w14:textId="77777777" w:rsidTr="00736FF9">
        <w:trPr>
          <w:gridBefore w:val="1"/>
          <w:wBefore w:w="37" w:type="dxa"/>
          <w:trHeight w:val="279"/>
        </w:trPr>
        <w:tc>
          <w:tcPr>
            <w:tcW w:w="2522" w:type="dxa"/>
            <w:shd w:val="clear" w:color="auto" w:fill="auto"/>
            <w:noWrap/>
            <w:vAlign w:val="bottom"/>
            <w:hideMark/>
          </w:tcPr>
          <w:p w14:paraId="7310E4AA" w14:textId="77777777" w:rsidR="002B218A" w:rsidRPr="00C1008C" w:rsidRDefault="002B218A" w:rsidP="00906EA2">
            <w:pPr>
              <w:spacing w:after="0" w:line="240" w:lineRule="auto"/>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BLAU*</w:t>
            </w:r>
            <w:proofErr w:type="spellStart"/>
            <w:r w:rsidRPr="00C1008C">
              <w:rPr>
                <w:rFonts w:ascii="Times New Roman" w:eastAsia="Times New Roman" w:hAnsi="Times New Roman" w:cs="Times New Roman"/>
                <w:color w:val="000000"/>
                <w:sz w:val="24"/>
                <w:szCs w:val="24"/>
              </w:rPr>
              <w:t>EPOlow</w:t>
            </w:r>
            <w:proofErr w:type="spellEnd"/>
          </w:p>
        </w:tc>
        <w:tc>
          <w:tcPr>
            <w:tcW w:w="1627" w:type="dxa"/>
            <w:shd w:val="clear" w:color="auto" w:fill="auto"/>
            <w:noWrap/>
            <w:vAlign w:val="bottom"/>
            <w:hideMark/>
          </w:tcPr>
          <w:p w14:paraId="6A214E55"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p>
        </w:tc>
        <w:tc>
          <w:tcPr>
            <w:tcW w:w="1411" w:type="dxa"/>
            <w:vAlign w:val="bottom"/>
          </w:tcPr>
          <w:p w14:paraId="1AC70765"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-21.234***</w:t>
            </w:r>
          </w:p>
        </w:tc>
        <w:tc>
          <w:tcPr>
            <w:tcW w:w="1735" w:type="dxa"/>
            <w:shd w:val="clear" w:color="auto" w:fill="auto"/>
            <w:noWrap/>
            <w:vAlign w:val="bottom"/>
          </w:tcPr>
          <w:p w14:paraId="60737279"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p>
        </w:tc>
        <w:tc>
          <w:tcPr>
            <w:tcW w:w="1865" w:type="dxa"/>
            <w:vAlign w:val="bottom"/>
          </w:tcPr>
          <w:p w14:paraId="47FB826B"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-0.242***</w:t>
            </w:r>
          </w:p>
        </w:tc>
      </w:tr>
      <w:tr w:rsidR="002B218A" w:rsidRPr="00C1008C" w14:paraId="6FF6242B" w14:textId="77777777" w:rsidTr="00736FF9">
        <w:trPr>
          <w:gridBefore w:val="1"/>
          <w:wBefore w:w="37" w:type="dxa"/>
          <w:trHeight w:val="279"/>
        </w:trPr>
        <w:tc>
          <w:tcPr>
            <w:tcW w:w="2522" w:type="dxa"/>
            <w:shd w:val="clear" w:color="auto" w:fill="auto"/>
            <w:noWrap/>
            <w:vAlign w:val="bottom"/>
            <w:hideMark/>
          </w:tcPr>
          <w:p w14:paraId="70A51847" w14:textId="77777777" w:rsidR="002B218A" w:rsidRPr="00C1008C" w:rsidRDefault="002B218A" w:rsidP="00906EA2">
            <w:pPr>
              <w:spacing w:after="0" w:line="240" w:lineRule="auto"/>
              <w:rPr>
                <w:rFonts w:ascii="Times New Roman" w:eastAsia="Times New Roman" w:hAnsi="Times New Roman" w:cs="Times New Roman"/>
                <w:color w:val="000000"/>
                <w:sz w:val="24"/>
                <w:szCs w:val="24"/>
              </w:rPr>
            </w:pPr>
          </w:p>
        </w:tc>
        <w:tc>
          <w:tcPr>
            <w:tcW w:w="1627" w:type="dxa"/>
            <w:shd w:val="clear" w:color="auto" w:fill="auto"/>
            <w:noWrap/>
            <w:vAlign w:val="bottom"/>
            <w:hideMark/>
          </w:tcPr>
          <w:p w14:paraId="08A1460C"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p>
        </w:tc>
        <w:tc>
          <w:tcPr>
            <w:tcW w:w="1411" w:type="dxa"/>
            <w:vAlign w:val="bottom"/>
          </w:tcPr>
          <w:p w14:paraId="2E08DD5A"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(30.868)</w:t>
            </w:r>
          </w:p>
        </w:tc>
        <w:tc>
          <w:tcPr>
            <w:tcW w:w="1735" w:type="dxa"/>
            <w:shd w:val="clear" w:color="auto" w:fill="auto"/>
            <w:noWrap/>
            <w:vAlign w:val="bottom"/>
          </w:tcPr>
          <w:p w14:paraId="252098DE"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p>
        </w:tc>
        <w:tc>
          <w:tcPr>
            <w:tcW w:w="1865" w:type="dxa"/>
            <w:vAlign w:val="bottom"/>
          </w:tcPr>
          <w:p w14:paraId="6E9547F3"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(4.958)</w:t>
            </w:r>
          </w:p>
        </w:tc>
      </w:tr>
      <w:tr w:rsidR="002B218A" w:rsidRPr="00C1008C" w14:paraId="6A20A4F2" w14:textId="77777777" w:rsidTr="00736FF9">
        <w:trPr>
          <w:gridBefore w:val="1"/>
          <w:wBefore w:w="37" w:type="dxa"/>
          <w:trHeight w:val="279"/>
        </w:trPr>
        <w:tc>
          <w:tcPr>
            <w:tcW w:w="2522" w:type="dxa"/>
            <w:shd w:val="clear" w:color="auto" w:fill="auto"/>
            <w:noWrap/>
            <w:vAlign w:val="bottom"/>
            <w:hideMark/>
          </w:tcPr>
          <w:p w14:paraId="50D67F3B" w14:textId="77777777" w:rsidR="002B218A" w:rsidRPr="00C1008C" w:rsidRDefault="002B218A" w:rsidP="00906EA2">
            <w:pPr>
              <w:spacing w:after="0" w:line="240" w:lineRule="auto"/>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SIZE</w:t>
            </w:r>
          </w:p>
        </w:tc>
        <w:tc>
          <w:tcPr>
            <w:tcW w:w="1627" w:type="dxa"/>
            <w:shd w:val="clear" w:color="auto" w:fill="auto"/>
            <w:noWrap/>
            <w:vAlign w:val="bottom"/>
            <w:hideMark/>
          </w:tcPr>
          <w:p w14:paraId="4FDBCCC7"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-0.615***</w:t>
            </w:r>
          </w:p>
        </w:tc>
        <w:tc>
          <w:tcPr>
            <w:tcW w:w="1411" w:type="dxa"/>
            <w:vAlign w:val="bottom"/>
          </w:tcPr>
          <w:p w14:paraId="3E4BE009"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-0.554***</w:t>
            </w:r>
          </w:p>
        </w:tc>
        <w:tc>
          <w:tcPr>
            <w:tcW w:w="1735" w:type="dxa"/>
            <w:shd w:val="clear" w:color="auto" w:fill="auto"/>
            <w:noWrap/>
            <w:vAlign w:val="bottom"/>
          </w:tcPr>
          <w:p w14:paraId="7FDE88C4"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-0.917***</w:t>
            </w:r>
          </w:p>
        </w:tc>
        <w:tc>
          <w:tcPr>
            <w:tcW w:w="1865" w:type="dxa"/>
            <w:vAlign w:val="bottom"/>
          </w:tcPr>
          <w:p w14:paraId="1731BCB2"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-0.946***</w:t>
            </w:r>
          </w:p>
        </w:tc>
      </w:tr>
      <w:tr w:rsidR="002B218A" w:rsidRPr="00C1008C" w14:paraId="2B06F716" w14:textId="77777777" w:rsidTr="00736FF9">
        <w:trPr>
          <w:gridBefore w:val="1"/>
          <w:wBefore w:w="37" w:type="dxa"/>
          <w:trHeight w:val="279"/>
        </w:trPr>
        <w:tc>
          <w:tcPr>
            <w:tcW w:w="2522" w:type="dxa"/>
            <w:shd w:val="clear" w:color="auto" w:fill="auto"/>
            <w:noWrap/>
            <w:vAlign w:val="bottom"/>
            <w:hideMark/>
          </w:tcPr>
          <w:p w14:paraId="0164BF2B" w14:textId="77777777" w:rsidR="002B218A" w:rsidRPr="00C1008C" w:rsidRDefault="002B218A" w:rsidP="00906EA2">
            <w:pPr>
              <w:spacing w:after="0" w:line="240" w:lineRule="auto"/>
              <w:rPr>
                <w:rFonts w:ascii="Times New Roman" w:eastAsia="Times New Roman" w:hAnsi="Times New Roman" w:cs="Times New Roman"/>
                <w:color w:val="000000"/>
                <w:sz w:val="24"/>
                <w:szCs w:val="24"/>
              </w:rPr>
            </w:pPr>
          </w:p>
        </w:tc>
        <w:tc>
          <w:tcPr>
            <w:tcW w:w="1627" w:type="dxa"/>
            <w:shd w:val="clear" w:color="auto" w:fill="auto"/>
            <w:noWrap/>
            <w:vAlign w:val="bottom"/>
            <w:hideMark/>
          </w:tcPr>
          <w:p w14:paraId="110693A4"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(22.470)</w:t>
            </w:r>
          </w:p>
        </w:tc>
        <w:tc>
          <w:tcPr>
            <w:tcW w:w="1411" w:type="dxa"/>
            <w:vAlign w:val="bottom"/>
          </w:tcPr>
          <w:p w14:paraId="445AA4D7"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(18.059)</w:t>
            </w:r>
          </w:p>
        </w:tc>
        <w:tc>
          <w:tcPr>
            <w:tcW w:w="1735" w:type="dxa"/>
            <w:shd w:val="clear" w:color="auto" w:fill="auto"/>
            <w:noWrap/>
            <w:vAlign w:val="bottom"/>
          </w:tcPr>
          <w:p w14:paraId="64729C2A"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(83.023)</w:t>
            </w:r>
          </w:p>
        </w:tc>
        <w:tc>
          <w:tcPr>
            <w:tcW w:w="1865" w:type="dxa"/>
            <w:vAlign w:val="bottom"/>
          </w:tcPr>
          <w:p w14:paraId="1BDDE781"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(-59.472)</w:t>
            </w:r>
          </w:p>
        </w:tc>
      </w:tr>
      <w:tr w:rsidR="002B218A" w:rsidRPr="00C1008C" w14:paraId="4F780377" w14:textId="77777777" w:rsidTr="00736FF9">
        <w:trPr>
          <w:gridBefore w:val="1"/>
          <w:wBefore w:w="37" w:type="dxa"/>
          <w:trHeight w:val="279"/>
        </w:trPr>
        <w:tc>
          <w:tcPr>
            <w:tcW w:w="2522" w:type="dxa"/>
            <w:shd w:val="clear" w:color="auto" w:fill="auto"/>
            <w:noWrap/>
            <w:vAlign w:val="bottom"/>
            <w:hideMark/>
          </w:tcPr>
          <w:p w14:paraId="4541DBD0" w14:textId="1FAF0233" w:rsidR="002B218A" w:rsidRPr="00C1008C" w:rsidRDefault="002B218A" w:rsidP="00906EA2">
            <w:pPr>
              <w:spacing w:after="0" w:line="240" w:lineRule="auto"/>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CAP</w:t>
            </w:r>
          </w:p>
        </w:tc>
        <w:tc>
          <w:tcPr>
            <w:tcW w:w="1627" w:type="dxa"/>
            <w:shd w:val="clear" w:color="auto" w:fill="auto"/>
            <w:noWrap/>
            <w:vAlign w:val="bottom"/>
            <w:hideMark/>
          </w:tcPr>
          <w:p w14:paraId="0A9A85B8"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-28.530***</w:t>
            </w:r>
          </w:p>
        </w:tc>
        <w:tc>
          <w:tcPr>
            <w:tcW w:w="1411" w:type="dxa"/>
            <w:vAlign w:val="bottom"/>
          </w:tcPr>
          <w:p w14:paraId="65089E70"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-24.177***</w:t>
            </w:r>
          </w:p>
        </w:tc>
        <w:tc>
          <w:tcPr>
            <w:tcW w:w="1735" w:type="dxa"/>
            <w:shd w:val="clear" w:color="auto" w:fill="auto"/>
            <w:noWrap/>
            <w:vAlign w:val="bottom"/>
          </w:tcPr>
          <w:p w14:paraId="16B30A2E"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1.084***</w:t>
            </w:r>
          </w:p>
        </w:tc>
        <w:tc>
          <w:tcPr>
            <w:tcW w:w="1865" w:type="dxa"/>
            <w:vAlign w:val="bottom"/>
          </w:tcPr>
          <w:p w14:paraId="6D9A31DE"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0.850***</w:t>
            </w:r>
          </w:p>
        </w:tc>
      </w:tr>
      <w:tr w:rsidR="002B218A" w:rsidRPr="00C1008C" w14:paraId="74260BDB" w14:textId="77777777" w:rsidTr="00736FF9">
        <w:trPr>
          <w:gridBefore w:val="1"/>
          <w:wBefore w:w="37" w:type="dxa"/>
          <w:trHeight w:val="279"/>
        </w:trPr>
        <w:tc>
          <w:tcPr>
            <w:tcW w:w="2522" w:type="dxa"/>
            <w:shd w:val="clear" w:color="auto" w:fill="auto"/>
            <w:noWrap/>
            <w:vAlign w:val="bottom"/>
            <w:hideMark/>
          </w:tcPr>
          <w:p w14:paraId="4A29C2C6" w14:textId="77777777" w:rsidR="002B218A" w:rsidRPr="00C1008C" w:rsidRDefault="002B218A" w:rsidP="00906EA2">
            <w:pPr>
              <w:spacing w:after="0" w:line="240" w:lineRule="auto"/>
              <w:rPr>
                <w:rFonts w:ascii="Times New Roman" w:eastAsia="Times New Roman" w:hAnsi="Times New Roman" w:cs="Times New Roman"/>
                <w:color w:val="000000"/>
                <w:sz w:val="24"/>
                <w:szCs w:val="24"/>
              </w:rPr>
            </w:pPr>
          </w:p>
        </w:tc>
        <w:tc>
          <w:tcPr>
            <w:tcW w:w="1627" w:type="dxa"/>
            <w:shd w:val="clear" w:color="auto" w:fill="auto"/>
            <w:noWrap/>
            <w:vAlign w:val="bottom"/>
            <w:hideMark/>
          </w:tcPr>
          <w:p w14:paraId="3F21F7E7"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(19.001)</w:t>
            </w:r>
          </w:p>
        </w:tc>
        <w:tc>
          <w:tcPr>
            <w:tcW w:w="1411" w:type="dxa"/>
            <w:vAlign w:val="bottom"/>
          </w:tcPr>
          <w:p w14:paraId="153027D2"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(18.335)</w:t>
            </w:r>
          </w:p>
        </w:tc>
        <w:tc>
          <w:tcPr>
            <w:tcW w:w="1735" w:type="dxa"/>
            <w:shd w:val="clear" w:color="auto" w:fill="auto"/>
            <w:noWrap/>
            <w:vAlign w:val="bottom"/>
          </w:tcPr>
          <w:p w14:paraId="73746107"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(-12.128)</w:t>
            </w:r>
          </w:p>
        </w:tc>
        <w:tc>
          <w:tcPr>
            <w:tcW w:w="1865" w:type="dxa"/>
            <w:vAlign w:val="bottom"/>
          </w:tcPr>
          <w:p w14:paraId="52BB3D28"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(-4.684)</w:t>
            </w:r>
          </w:p>
        </w:tc>
      </w:tr>
      <w:tr w:rsidR="002B218A" w:rsidRPr="00C1008C" w14:paraId="2EE86F2A" w14:textId="77777777" w:rsidTr="00736FF9">
        <w:trPr>
          <w:gridBefore w:val="1"/>
          <w:wBefore w:w="37" w:type="dxa"/>
          <w:trHeight w:val="279"/>
        </w:trPr>
        <w:tc>
          <w:tcPr>
            <w:tcW w:w="2522" w:type="dxa"/>
            <w:shd w:val="clear" w:color="auto" w:fill="auto"/>
            <w:noWrap/>
            <w:vAlign w:val="bottom"/>
            <w:hideMark/>
          </w:tcPr>
          <w:p w14:paraId="72A1D913" w14:textId="17F41A66" w:rsidR="002B218A" w:rsidRPr="00C1008C" w:rsidRDefault="002B218A" w:rsidP="00906EA2">
            <w:pPr>
              <w:spacing w:after="0" w:line="240" w:lineRule="auto"/>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INF</w:t>
            </w:r>
          </w:p>
        </w:tc>
        <w:tc>
          <w:tcPr>
            <w:tcW w:w="1627" w:type="dxa"/>
            <w:shd w:val="clear" w:color="auto" w:fill="auto"/>
            <w:noWrap/>
            <w:vAlign w:val="bottom"/>
            <w:hideMark/>
          </w:tcPr>
          <w:p w14:paraId="4611AC4E"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0.103***</w:t>
            </w:r>
          </w:p>
        </w:tc>
        <w:tc>
          <w:tcPr>
            <w:tcW w:w="1411" w:type="dxa"/>
            <w:vAlign w:val="bottom"/>
          </w:tcPr>
          <w:p w14:paraId="2F0C16A9"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0.273***</w:t>
            </w:r>
          </w:p>
        </w:tc>
        <w:tc>
          <w:tcPr>
            <w:tcW w:w="1735" w:type="dxa"/>
            <w:shd w:val="clear" w:color="auto" w:fill="auto"/>
            <w:noWrap/>
            <w:vAlign w:val="bottom"/>
          </w:tcPr>
          <w:p w14:paraId="7DCE2190"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-0.003</w:t>
            </w:r>
          </w:p>
        </w:tc>
        <w:tc>
          <w:tcPr>
            <w:tcW w:w="1865" w:type="dxa"/>
            <w:vAlign w:val="bottom"/>
          </w:tcPr>
          <w:p w14:paraId="67EA9F26"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-0.002</w:t>
            </w:r>
          </w:p>
        </w:tc>
      </w:tr>
      <w:tr w:rsidR="002B218A" w:rsidRPr="00C1008C" w14:paraId="014F8966" w14:textId="77777777" w:rsidTr="00736FF9">
        <w:trPr>
          <w:gridBefore w:val="1"/>
          <w:wBefore w:w="37" w:type="dxa"/>
          <w:trHeight w:val="279"/>
        </w:trPr>
        <w:tc>
          <w:tcPr>
            <w:tcW w:w="2522" w:type="dxa"/>
            <w:shd w:val="clear" w:color="auto" w:fill="auto"/>
            <w:noWrap/>
            <w:vAlign w:val="bottom"/>
            <w:hideMark/>
          </w:tcPr>
          <w:p w14:paraId="25FD697D" w14:textId="77777777" w:rsidR="002B218A" w:rsidRPr="00C1008C" w:rsidRDefault="002B218A" w:rsidP="00906EA2">
            <w:pPr>
              <w:spacing w:after="0" w:line="240" w:lineRule="auto"/>
              <w:rPr>
                <w:rFonts w:ascii="Times New Roman" w:eastAsia="Times New Roman" w:hAnsi="Times New Roman" w:cs="Times New Roman"/>
                <w:color w:val="000000"/>
                <w:sz w:val="24"/>
                <w:szCs w:val="24"/>
              </w:rPr>
            </w:pPr>
          </w:p>
        </w:tc>
        <w:tc>
          <w:tcPr>
            <w:tcW w:w="1627" w:type="dxa"/>
            <w:shd w:val="clear" w:color="auto" w:fill="auto"/>
            <w:noWrap/>
            <w:vAlign w:val="bottom"/>
            <w:hideMark/>
          </w:tcPr>
          <w:p w14:paraId="05C4A1FA"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(-4.030)</w:t>
            </w:r>
          </w:p>
        </w:tc>
        <w:tc>
          <w:tcPr>
            <w:tcW w:w="1411" w:type="dxa"/>
            <w:vAlign w:val="bottom"/>
          </w:tcPr>
          <w:p w14:paraId="6386A4D2"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(-11.792)</w:t>
            </w:r>
          </w:p>
        </w:tc>
        <w:tc>
          <w:tcPr>
            <w:tcW w:w="1735" w:type="dxa"/>
            <w:shd w:val="clear" w:color="auto" w:fill="auto"/>
            <w:noWrap/>
            <w:vAlign w:val="bottom"/>
          </w:tcPr>
          <w:p w14:paraId="3F6E048D"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(1.300)</w:t>
            </w:r>
          </w:p>
        </w:tc>
        <w:tc>
          <w:tcPr>
            <w:tcW w:w="1865" w:type="dxa"/>
            <w:vAlign w:val="bottom"/>
          </w:tcPr>
          <w:p w14:paraId="7AB15D27"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(1.078)</w:t>
            </w:r>
          </w:p>
        </w:tc>
      </w:tr>
      <w:tr w:rsidR="002B218A" w:rsidRPr="00C1008C" w14:paraId="7123FB06" w14:textId="77777777" w:rsidTr="00736FF9">
        <w:trPr>
          <w:gridBefore w:val="1"/>
          <w:wBefore w:w="37" w:type="dxa"/>
          <w:trHeight w:val="279"/>
        </w:trPr>
        <w:tc>
          <w:tcPr>
            <w:tcW w:w="2522" w:type="dxa"/>
            <w:shd w:val="clear" w:color="auto" w:fill="auto"/>
            <w:noWrap/>
            <w:vAlign w:val="bottom"/>
            <w:hideMark/>
          </w:tcPr>
          <w:p w14:paraId="6356B4A4" w14:textId="078581CB" w:rsidR="002B218A" w:rsidRPr="00C1008C" w:rsidRDefault="009D5537" w:rsidP="00906EA2">
            <w:pPr>
              <w:spacing w:after="0" w:line="240" w:lineRule="auto"/>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GDP</w:t>
            </w:r>
          </w:p>
        </w:tc>
        <w:tc>
          <w:tcPr>
            <w:tcW w:w="1627" w:type="dxa"/>
            <w:shd w:val="clear" w:color="auto" w:fill="auto"/>
            <w:noWrap/>
            <w:vAlign w:val="bottom"/>
            <w:hideMark/>
          </w:tcPr>
          <w:p w14:paraId="105CE654"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0.724***</w:t>
            </w:r>
          </w:p>
        </w:tc>
        <w:tc>
          <w:tcPr>
            <w:tcW w:w="1411" w:type="dxa"/>
            <w:vAlign w:val="bottom"/>
          </w:tcPr>
          <w:p w14:paraId="56FCCEED"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0.748***</w:t>
            </w:r>
          </w:p>
        </w:tc>
        <w:tc>
          <w:tcPr>
            <w:tcW w:w="1735" w:type="dxa"/>
            <w:shd w:val="clear" w:color="auto" w:fill="auto"/>
            <w:noWrap/>
            <w:vAlign w:val="bottom"/>
          </w:tcPr>
          <w:p w14:paraId="3B9B2C98"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-0.002</w:t>
            </w:r>
          </w:p>
        </w:tc>
        <w:tc>
          <w:tcPr>
            <w:tcW w:w="1865" w:type="dxa"/>
            <w:vAlign w:val="bottom"/>
          </w:tcPr>
          <w:p w14:paraId="4B0A9C88"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-0.002</w:t>
            </w:r>
          </w:p>
        </w:tc>
      </w:tr>
      <w:tr w:rsidR="002B218A" w:rsidRPr="00C1008C" w14:paraId="369AA4EA" w14:textId="77777777" w:rsidTr="00736FF9">
        <w:trPr>
          <w:gridBefore w:val="1"/>
          <w:wBefore w:w="37" w:type="dxa"/>
          <w:trHeight w:val="279"/>
        </w:trPr>
        <w:tc>
          <w:tcPr>
            <w:tcW w:w="2522" w:type="dxa"/>
            <w:shd w:val="clear" w:color="auto" w:fill="auto"/>
            <w:noWrap/>
            <w:vAlign w:val="bottom"/>
            <w:hideMark/>
          </w:tcPr>
          <w:p w14:paraId="0C620B6C" w14:textId="77777777" w:rsidR="002B218A" w:rsidRPr="00C1008C" w:rsidRDefault="002B218A" w:rsidP="00906EA2">
            <w:pPr>
              <w:spacing w:after="0" w:line="240" w:lineRule="auto"/>
              <w:rPr>
                <w:rFonts w:ascii="Times New Roman" w:eastAsia="Times New Roman" w:hAnsi="Times New Roman" w:cs="Times New Roman"/>
                <w:color w:val="000000"/>
                <w:sz w:val="24"/>
                <w:szCs w:val="24"/>
              </w:rPr>
            </w:pPr>
          </w:p>
        </w:tc>
        <w:tc>
          <w:tcPr>
            <w:tcW w:w="1627" w:type="dxa"/>
            <w:shd w:val="clear" w:color="auto" w:fill="auto"/>
            <w:noWrap/>
            <w:vAlign w:val="bottom"/>
            <w:hideMark/>
          </w:tcPr>
          <w:p w14:paraId="285CD3A0"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(-36.105)</w:t>
            </w:r>
          </w:p>
        </w:tc>
        <w:tc>
          <w:tcPr>
            <w:tcW w:w="1411" w:type="dxa"/>
            <w:vAlign w:val="bottom"/>
          </w:tcPr>
          <w:p w14:paraId="0C2F6D1B"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(-33.422)</w:t>
            </w:r>
          </w:p>
        </w:tc>
        <w:tc>
          <w:tcPr>
            <w:tcW w:w="1735" w:type="dxa"/>
            <w:shd w:val="clear" w:color="auto" w:fill="auto"/>
            <w:noWrap/>
            <w:vAlign w:val="bottom"/>
          </w:tcPr>
          <w:p w14:paraId="12795F55"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(1.077)</w:t>
            </w:r>
          </w:p>
        </w:tc>
        <w:tc>
          <w:tcPr>
            <w:tcW w:w="1865" w:type="dxa"/>
            <w:vAlign w:val="bottom"/>
          </w:tcPr>
          <w:p w14:paraId="554AEE09"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(1.070)</w:t>
            </w:r>
          </w:p>
        </w:tc>
      </w:tr>
      <w:tr w:rsidR="002B218A" w:rsidRPr="00C1008C" w14:paraId="69564354" w14:textId="77777777" w:rsidTr="00736FF9">
        <w:trPr>
          <w:gridBefore w:val="1"/>
          <w:wBefore w:w="37" w:type="dxa"/>
          <w:trHeight w:val="279"/>
        </w:trPr>
        <w:tc>
          <w:tcPr>
            <w:tcW w:w="2522" w:type="dxa"/>
            <w:shd w:val="clear" w:color="auto" w:fill="auto"/>
            <w:noWrap/>
            <w:vAlign w:val="bottom"/>
            <w:hideMark/>
          </w:tcPr>
          <w:p w14:paraId="65B57016" w14:textId="1B20504B" w:rsidR="002B218A" w:rsidRPr="00C1008C" w:rsidRDefault="002B218A" w:rsidP="00906EA2">
            <w:pPr>
              <w:spacing w:after="0" w:line="240" w:lineRule="auto"/>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FREE</w:t>
            </w:r>
          </w:p>
        </w:tc>
        <w:tc>
          <w:tcPr>
            <w:tcW w:w="1627" w:type="dxa"/>
            <w:shd w:val="clear" w:color="auto" w:fill="auto"/>
            <w:noWrap/>
            <w:vAlign w:val="bottom"/>
            <w:hideMark/>
          </w:tcPr>
          <w:p w14:paraId="7C99D5FA"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-0.031***</w:t>
            </w:r>
          </w:p>
        </w:tc>
        <w:tc>
          <w:tcPr>
            <w:tcW w:w="1411" w:type="dxa"/>
            <w:vAlign w:val="bottom"/>
          </w:tcPr>
          <w:p w14:paraId="34B2DDCB"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-0.101***</w:t>
            </w:r>
          </w:p>
        </w:tc>
        <w:tc>
          <w:tcPr>
            <w:tcW w:w="1735" w:type="dxa"/>
            <w:shd w:val="clear" w:color="auto" w:fill="auto"/>
            <w:noWrap/>
            <w:vAlign w:val="bottom"/>
          </w:tcPr>
          <w:p w14:paraId="4CF385E5"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0.000</w:t>
            </w:r>
          </w:p>
        </w:tc>
        <w:tc>
          <w:tcPr>
            <w:tcW w:w="1865" w:type="dxa"/>
            <w:vAlign w:val="bottom"/>
          </w:tcPr>
          <w:p w14:paraId="3564712B"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-0.000</w:t>
            </w:r>
          </w:p>
        </w:tc>
      </w:tr>
      <w:tr w:rsidR="002B218A" w:rsidRPr="00C1008C" w14:paraId="0593E037" w14:textId="77777777" w:rsidTr="00736FF9">
        <w:trPr>
          <w:gridBefore w:val="1"/>
          <w:wBefore w:w="37" w:type="dxa"/>
          <w:trHeight w:val="279"/>
        </w:trPr>
        <w:tc>
          <w:tcPr>
            <w:tcW w:w="2522" w:type="dxa"/>
            <w:shd w:val="clear" w:color="auto" w:fill="auto"/>
            <w:noWrap/>
            <w:vAlign w:val="bottom"/>
            <w:hideMark/>
          </w:tcPr>
          <w:p w14:paraId="2D61DD03" w14:textId="77777777" w:rsidR="002B218A" w:rsidRPr="00C1008C" w:rsidRDefault="002B218A" w:rsidP="00906EA2">
            <w:pPr>
              <w:spacing w:after="0" w:line="240" w:lineRule="auto"/>
              <w:rPr>
                <w:rFonts w:ascii="Times New Roman" w:eastAsia="Times New Roman" w:hAnsi="Times New Roman" w:cs="Times New Roman"/>
                <w:color w:val="000000"/>
                <w:sz w:val="24"/>
                <w:szCs w:val="24"/>
              </w:rPr>
            </w:pPr>
          </w:p>
        </w:tc>
        <w:tc>
          <w:tcPr>
            <w:tcW w:w="1627" w:type="dxa"/>
            <w:shd w:val="clear" w:color="auto" w:fill="auto"/>
            <w:noWrap/>
            <w:vAlign w:val="bottom"/>
            <w:hideMark/>
          </w:tcPr>
          <w:p w14:paraId="1E687A5C"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(8.295)</w:t>
            </w:r>
          </w:p>
        </w:tc>
        <w:tc>
          <w:tcPr>
            <w:tcW w:w="1411" w:type="dxa"/>
            <w:vAlign w:val="bottom"/>
          </w:tcPr>
          <w:p w14:paraId="292ACCBA"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(15.428)</w:t>
            </w:r>
          </w:p>
        </w:tc>
        <w:tc>
          <w:tcPr>
            <w:tcW w:w="1735" w:type="dxa"/>
            <w:shd w:val="clear" w:color="auto" w:fill="auto"/>
            <w:noWrap/>
            <w:vAlign w:val="bottom"/>
          </w:tcPr>
          <w:p w14:paraId="69FCC2FA"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(-0.865)</w:t>
            </w:r>
          </w:p>
        </w:tc>
        <w:tc>
          <w:tcPr>
            <w:tcW w:w="1865" w:type="dxa"/>
            <w:vAlign w:val="bottom"/>
          </w:tcPr>
          <w:p w14:paraId="20D0CEA2"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(0.413)</w:t>
            </w:r>
          </w:p>
        </w:tc>
      </w:tr>
      <w:tr w:rsidR="002B218A" w:rsidRPr="00C1008C" w14:paraId="6959C131" w14:textId="77777777" w:rsidTr="00736FF9">
        <w:trPr>
          <w:gridBefore w:val="1"/>
          <w:wBefore w:w="37" w:type="dxa"/>
          <w:trHeight w:val="279"/>
        </w:trPr>
        <w:tc>
          <w:tcPr>
            <w:tcW w:w="2522" w:type="dxa"/>
            <w:shd w:val="clear" w:color="auto" w:fill="auto"/>
            <w:noWrap/>
            <w:vAlign w:val="bottom"/>
            <w:hideMark/>
          </w:tcPr>
          <w:p w14:paraId="150D5CC6" w14:textId="599E7738" w:rsidR="002B218A" w:rsidRPr="00C1008C" w:rsidRDefault="002B218A" w:rsidP="00906EA2">
            <w:pPr>
              <w:spacing w:after="0" w:line="240" w:lineRule="auto"/>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RES</w:t>
            </w:r>
            <w:r w:rsidR="009D5537" w:rsidRPr="00C1008C">
              <w:rPr>
                <w:rFonts w:ascii="Times New Roman" w:eastAsia="Times New Roman" w:hAnsi="Times New Roman" w:cs="Times New Roman"/>
                <w:color w:val="000000"/>
                <w:sz w:val="24"/>
                <w:szCs w:val="24"/>
              </w:rPr>
              <w:t>T</w:t>
            </w:r>
          </w:p>
        </w:tc>
        <w:tc>
          <w:tcPr>
            <w:tcW w:w="1627" w:type="dxa"/>
            <w:shd w:val="clear" w:color="auto" w:fill="auto"/>
            <w:noWrap/>
            <w:vAlign w:val="bottom"/>
            <w:hideMark/>
          </w:tcPr>
          <w:p w14:paraId="3CACD3A6"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1.278***</w:t>
            </w:r>
          </w:p>
        </w:tc>
        <w:tc>
          <w:tcPr>
            <w:tcW w:w="1411" w:type="dxa"/>
            <w:vAlign w:val="bottom"/>
          </w:tcPr>
          <w:p w14:paraId="4D40583A"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1.154***</w:t>
            </w:r>
          </w:p>
        </w:tc>
        <w:tc>
          <w:tcPr>
            <w:tcW w:w="1735" w:type="dxa"/>
            <w:shd w:val="clear" w:color="auto" w:fill="auto"/>
            <w:noWrap/>
            <w:vAlign w:val="bottom"/>
          </w:tcPr>
          <w:p w14:paraId="38858981"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0.009***</w:t>
            </w:r>
          </w:p>
        </w:tc>
        <w:tc>
          <w:tcPr>
            <w:tcW w:w="1865" w:type="dxa"/>
            <w:vAlign w:val="bottom"/>
          </w:tcPr>
          <w:p w14:paraId="75F8EAEF"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0.008***</w:t>
            </w:r>
          </w:p>
        </w:tc>
      </w:tr>
      <w:tr w:rsidR="002B218A" w:rsidRPr="00C1008C" w14:paraId="71135BF6" w14:textId="77777777" w:rsidTr="00736FF9">
        <w:trPr>
          <w:gridBefore w:val="1"/>
          <w:wBefore w:w="37" w:type="dxa"/>
          <w:trHeight w:val="279"/>
        </w:trPr>
        <w:tc>
          <w:tcPr>
            <w:tcW w:w="2522" w:type="dxa"/>
            <w:shd w:val="clear" w:color="auto" w:fill="auto"/>
            <w:noWrap/>
            <w:vAlign w:val="bottom"/>
            <w:hideMark/>
          </w:tcPr>
          <w:p w14:paraId="33556412" w14:textId="77777777" w:rsidR="002B218A" w:rsidRPr="00C1008C" w:rsidRDefault="002B218A" w:rsidP="00906EA2">
            <w:pPr>
              <w:spacing w:after="0" w:line="240" w:lineRule="auto"/>
              <w:rPr>
                <w:rFonts w:ascii="Times New Roman" w:eastAsia="Times New Roman" w:hAnsi="Times New Roman" w:cs="Times New Roman"/>
                <w:color w:val="000000"/>
                <w:sz w:val="24"/>
                <w:szCs w:val="24"/>
              </w:rPr>
            </w:pPr>
          </w:p>
        </w:tc>
        <w:tc>
          <w:tcPr>
            <w:tcW w:w="1627" w:type="dxa"/>
            <w:shd w:val="clear" w:color="auto" w:fill="auto"/>
            <w:noWrap/>
            <w:vAlign w:val="bottom"/>
            <w:hideMark/>
          </w:tcPr>
          <w:p w14:paraId="6DECD643"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(-20.268)</w:t>
            </w:r>
          </w:p>
        </w:tc>
        <w:tc>
          <w:tcPr>
            <w:tcW w:w="1411" w:type="dxa"/>
            <w:vAlign w:val="bottom"/>
          </w:tcPr>
          <w:p w14:paraId="31E4AC5F"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(-18..818)</w:t>
            </w:r>
          </w:p>
        </w:tc>
        <w:tc>
          <w:tcPr>
            <w:tcW w:w="1735" w:type="dxa"/>
            <w:shd w:val="clear" w:color="auto" w:fill="auto"/>
            <w:noWrap/>
            <w:vAlign w:val="bottom"/>
          </w:tcPr>
          <w:p w14:paraId="2CB57EDF"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(-3.161)</w:t>
            </w:r>
          </w:p>
        </w:tc>
        <w:tc>
          <w:tcPr>
            <w:tcW w:w="1865" w:type="dxa"/>
            <w:vAlign w:val="bottom"/>
          </w:tcPr>
          <w:p w14:paraId="49D0F9FE"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(-3.180)</w:t>
            </w:r>
          </w:p>
        </w:tc>
      </w:tr>
      <w:tr w:rsidR="002B218A" w:rsidRPr="00C1008C" w14:paraId="48A85B97" w14:textId="77777777" w:rsidTr="00736FF9">
        <w:trPr>
          <w:gridBefore w:val="1"/>
          <w:wBefore w:w="37" w:type="dxa"/>
          <w:trHeight w:val="279"/>
        </w:trPr>
        <w:tc>
          <w:tcPr>
            <w:tcW w:w="2522" w:type="dxa"/>
            <w:shd w:val="clear" w:color="auto" w:fill="auto"/>
            <w:noWrap/>
            <w:vAlign w:val="bottom"/>
            <w:hideMark/>
          </w:tcPr>
          <w:p w14:paraId="0EBBF2A4" w14:textId="7A8D55C5" w:rsidR="002B218A" w:rsidRPr="00C1008C" w:rsidRDefault="002B218A" w:rsidP="00906EA2">
            <w:pPr>
              <w:spacing w:after="0" w:line="240" w:lineRule="auto"/>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REQ</w:t>
            </w:r>
          </w:p>
        </w:tc>
        <w:tc>
          <w:tcPr>
            <w:tcW w:w="1627" w:type="dxa"/>
            <w:shd w:val="clear" w:color="auto" w:fill="auto"/>
            <w:noWrap/>
            <w:vAlign w:val="bottom"/>
            <w:hideMark/>
          </w:tcPr>
          <w:p w14:paraId="5B58443C"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-1.371***</w:t>
            </w:r>
          </w:p>
        </w:tc>
        <w:tc>
          <w:tcPr>
            <w:tcW w:w="1411" w:type="dxa"/>
            <w:vAlign w:val="bottom"/>
          </w:tcPr>
          <w:p w14:paraId="643E96A6"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-2.301***</w:t>
            </w:r>
          </w:p>
        </w:tc>
        <w:tc>
          <w:tcPr>
            <w:tcW w:w="1735" w:type="dxa"/>
            <w:shd w:val="clear" w:color="auto" w:fill="auto"/>
            <w:noWrap/>
            <w:vAlign w:val="bottom"/>
          </w:tcPr>
          <w:p w14:paraId="50264AE0"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-0.004</w:t>
            </w:r>
          </w:p>
        </w:tc>
        <w:tc>
          <w:tcPr>
            <w:tcW w:w="1865" w:type="dxa"/>
            <w:vAlign w:val="bottom"/>
          </w:tcPr>
          <w:p w14:paraId="681354C8"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-0.012</w:t>
            </w:r>
          </w:p>
        </w:tc>
      </w:tr>
      <w:tr w:rsidR="002B218A" w:rsidRPr="00C1008C" w14:paraId="519B6F3E" w14:textId="77777777" w:rsidTr="00736FF9">
        <w:trPr>
          <w:gridBefore w:val="1"/>
          <w:wBefore w:w="37" w:type="dxa"/>
          <w:trHeight w:val="279"/>
        </w:trPr>
        <w:tc>
          <w:tcPr>
            <w:tcW w:w="2522" w:type="dxa"/>
            <w:shd w:val="clear" w:color="auto" w:fill="auto"/>
            <w:noWrap/>
            <w:vAlign w:val="bottom"/>
            <w:hideMark/>
          </w:tcPr>
          <w:p w14:paraId="7DCE8F03" w14:textId="77777777" w:rsidR="002B218A" w:rsidRPr="00C1008C" w:rsidRDefault="002B218A" w:rsidP="00906EA2">
            <w:pPr>
              <w:spacing w:after="0" w:line="240" w:lineRule="auto"/>
              <w:rPr>
                <w:rFonts w:ascii="Times New Roman" w:eastAsia="Times New Roman" w:hAnsi="Times New Roman" w:cs="Times New Roman"/>
                <w:color w:val="000000"/>
                <w:sz w:val="24"/>
                <w:szCs w:val="24"/>
              </w:rPr>
            </w:pPr>
          </w:p>
        </w:tc>
        <w:tc>
          <w:tcPr>
            <w:tcW w:w="1627" w:type="dxa"/>
            <w:shd w:val="clear" w:color="auto" w:fill="auto"/>
            <w:noWrap/>
            <w:vAlign w:val="bottom"/>
            <w:hideMark/>
          </w:tcPr>
          <w:p w14:paraId="78515A27"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(21.021)</w:t>
            </w:r>
          </w:p>
        </w:tc>
        <w:tc>
          <w:tcPr>
            <w:tcW w:w="1411" w:type="dxa"/>
            <w:vAlign w:val="bottom"/>
          </w:tcPr>
          <w:p w14:paraId="63FC71F1"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(18.583)</w:t>
            </w:r>
          </w:p>
        </w:tc>
        <w:tc>
          <w:tcPr>
            <w:tcW w:w="1735" w:type="dxa"/>
            <w:shd w:val="clear" w:color="auto" w:fill="auto"/>
            <w:noWrap/>
            <w:vAlign w:val="bottom"/>
          </w:tcPr>
          <w:p w14:paraId="66AC1A6B"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(0.481)</w:t>
            </w:r>
          </w:p>
        </w:tc>
        <w:tc>
          <w:tcPr>
            <w:tcW w:w="1865" w:type="dxa"/>
            <w:vAlign w:val="bottom"/>
          </w:tcPr>
          <w:p w14:paraId="737E5BFA"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(1.633)</w:t>
            </w:r>
          </w:p>
        </w:tc>
      </w:tr>
      <w:tr w:rsidR="002B218A" w:rsidRPr="00C1008C" w14:paraId="09C812C9" w14:textId="77777777" w:rsidTr="00736FF9">
        <w:trPr>
          <w:gridBefore w:val="1"/>
          <w:wBefore w:w="37" w:type="dxa"/>
          <w:trHeight w:val="279"/>
        </w:trPr>
        <w:tc>
          <w:tcPr>
            <w:tcW w:w="2522" w:type="dxa"/>
            <w:shd w:val="clear" w:color="auto" w:fill="auto"/>
            <w:noWrap/>
            <w:vAlign w:val="bottom"/>
            <w:hideMark/>
          </w:tcPr>
          <w:p w14:paraId="53078D3E" w14:textId="7EB82C6D" w:rsidR="002B218A" w:rsidRPr="00C1008C" w:rsidRDefault="002B218A" w:rsidP="00906EA2">
            <w:pPr>
              <w:spacing w:after="0" w:line="240" w:lineRule="auto"/>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SUPIN</w:t>
            </w:r>
          </w:p>
        </w:tc>
        <w:tc>
          <w:tcPr>
            <w:tcW w:w="1627" w:type="dxa"/>
            <w:shd w:val="clear" w:color="auto" w:fill="auto"/>
            <w:noWrap/>
            <w:vAlign w:val="bottom"/>
            <w:hideMark/>
          </w:tcPr>
          <w:p w14:paraId="63C256B1"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1.654***</w:t>
            </w:r>
          </w:p>
        </w:tc>
        <w:tc>
          <w:tcPr>
            <w:tcW w:w="1411" w:type="dxa"/>
            <w:vAlign w:val="bottom"/>
          </w:tcPr>
          <w:p w14:paraId="3184B5F8"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1.894***</w:t>
            </w:r>
          </w:p>
        </w:tc>
        <w:tc>
          <w:tcPr>
            <w:tcW w:w="1735" w:type="dxa"/>
            <w:shd w:val="clear" w:color="auto" w:fill="auto"/>
            <w:noWrap/>
            <w:vAlign w:val="bottom"/>
          </w:tcPr>
          <w:p w14:paraId="4B45B3A0"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0.009</w:t>
            </w:r>
          </w:p>
        </w:tc>
        <w:tc>
          <w:tcPr>
            <w:tcW w:w="1865" w:type="dxa"/>
            <w:vAlign w:val="bottom"/>
          </w:tcPr>
          <w:p w14:paraId="4C08D45F"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0.016***</w:t>
            </w:r>
          </w:p>
        </w:tc>
      </w:tr>
      <w:tr w:rsidR="002B218A" w:rsidRPr="00C1008C" w14:paraId="0F5EAB2E" w14:textId="77777777" w:rsidTr="00736FF9">
        <w:trPr>
          <w:gridBefore w:val="1"/>
          <w:wBefore w:w="37" w:type="dxa"/>
          <w:trHeight w:val="279"/>
        </w:trPr>
        <w:tc>
          <w:tcPr>
            <w:tcW w:w="2522" w:type="dxa"/>
            <w:shd w:val="clear" w:color="auto" w:fill="auto"/>
            <w:noWrap/>
            <w:vAlign w:val="bottom"/>
            <w:hideMark/>
          </w:tcPr>
          <w:p w14:paraId="5B856D6D" w14:textId="77777777" w:rsidR="002B218A" w:rsidRPr="00C1008C" w:rsidRDefault="002B218A" w:rsidP="00906EA2">
            <w:pPr>
              <w:spacing w:after="0" w:line="240" w:lineRule="auto"/>
              <w:rPr>
                <w:rFonts w:ascii="Times New Roman" w:eastAsia="Times New Roman" w:hAnsi="Times New Roman" w:cs="Times New Roman"/>
                <w:color w:val="000000"/>
                <w:sz w:val="24"/>
                <w:szCs w:val="24"/>
              </w:rPr>
            </w:pPr>
          </w:p>
        </w:tc>
        <w:tc>
          <w:tcPr>
            <w:tcW w:w="1627" w:type="dxa"/>
            <w:shd w:val="clear" w:color="auto" w:fill="auto"/>
            <w:noWrap/>
            <w:vAlign w:val="bottom"/>
            <w:hideMark/>
          </w:tcPr>
          <w:p w14:paraId="28C3E895"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(-22.764)</w:t>
            </w:r>
          </w:p>
        </w:tc>
        <w:tc>
          <w:tcPr>
            <w:tcW w:w="1411" w:type="dxa"/>
            <w:vAlign w:val="bottom"/>
          </w:tcPr>
          <w:p w14:paraId="7EBE6AE0"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(-24.553)</w:t>
            </w:r>
          </w:p>
        </w:tc>
        <w:tc>
          <w:tcPr>
            <w:tcW w:w="1735" w:type="dxa"/>
            <w:shd w:val="clear" w:color="auto" w:fill="auto"/>
            <w:noWrap/>
            <w:vAlign w:val="bottom"/>
          </w:tcPr>
          <w:p w14:paraId="6A170FE7"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(-1.393)</w:t>
            </w:r>
          </w:p>
        </w:tc>
        <w:tc>
          <w:tcPr>
            <w:tcW w:w="1865" w:type="dxa"/>
            <w:vAlign w:val="bottom"/>
          </w:tcPr>
          <w:p w14:paraId="11CA0CED"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(-2.961)</w:t>
            </w:r>
          </w:p>
        </w:tc>
      </w:tr>
      <w:tr w:rsidR="002B218A" w:rsidRPr="00C1008C" w14:paraId="45DE5241" w14:textId="77777777" w:rsidTr="00736FF9">
        <w:trPr>
          <w:gridBefore w:val="1"/>
          <w:wBefore w:w="37" w:type="dxa"/>
          <w:trHeight w:val="279"/>
        </w:trPr>
        <w:tc>
          <w:tcPr>
            <w:tcW w:w="2522" w:type="dxa"/>
            <w:shd w:val="clear" w:color="auto" w:fill="auto"/>
            <w:noWrap/>
            <w:vAlign w:val="bottom"/>
            <w:hideMark/>
          </w:tcPr>
          <w:p w14:paraId="3DD9B756" w14:textId="1583DCBE" w:rsidR="002B218A" w:rsidRPr="00C1008C" w:rsidRDefault="002B218A" w:rsidP="00906EA2">
            <w:pPr>
              <w:spacing w:after="0" w:line="240" w:lineRule="auto"/>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PRMON</w:t>
            </w:r>
          </w:p>
        </w:tc>
        <w:tc>
          <w:tcPr>
            <w:tcW w:w="1627" w:type="dxa"/>
            <w:shd w:val="clear" w:color="auto" w:fill="auto"/>
            <w:noWrap/>
            <w:vAlign w:val="bottom"/>
            <w:hideMark/>
          </w:tcPr>
          <w:p w14:paraId="645B3DD9"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-0.244***</w:t>
            </w:r>
          </w:p>
        </w:tc>
        <w:tc>
          <w:tcPr>
            <w:tcW w:w="1411" w:type="dxa"/>
            <w:vAlign w:val="bottom"/>
          </w:tcPr>
          <w:p w14:paraId="1B60A558"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-0.310***</w:t>
            </w:r>
          </w:p>
        </w:tc>
        <w:tc>
          <w:tcPr>
            <w:tcW w:w="1735" w:type="dxa"/>
            <w:shd w:val="clear" w:color="auto" w:fill="auto"/>
            <w:noWrap/>
            <w:vAlign w:val="bottom"/>
          </w:tcPr>
          <w:p w14:paraId="65B3EFF1"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-0.018***</w:t>
            </w:r>
          </w:p>
        </w:tc>
        <w:tc>
          <w:tcPr>
            <w:tcW w:w="1865" w:type="dxa"/>
            <w:vAlign w:val="bottom"/>
          </w:tcPr>
          <w:p w14:paraId="4308DBA0"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-0.022***</w:t>
            </w:r>
          </w:p>
        </w:tc>
      </w:tr>
      <w:tr w:rsidR="002B218A" w:rsidRPr="00C1008C" w14:paraId="2B120A38" w14:textId="77777777" w:rsidTr="00736FF9">
        <w:trPr>
          <w:gridBefore w:val="1"/>
          <w:wBefore w:w="37" w:type="dxa"/>
          <w:trHeight w:val="279"/>
        </w:trPr>
        <w:tc>
          <w:tcPr>
            <w:tcW w:w="2522" w:type="dxa"/>
            <w:shd w:val="clear" w:color="auto" w:fill="auto"/>
            <w:noWrap/>
            <w:vAlign w:val="bottom"/>
            <w:hideMark/>
          </w:tcPr>
          <w:p w14:paraId="7D066C3D" w14:textId="77777777" w:rsidR="002B218A" w:rsidRPr="00C1008C" w:rsidRDefault="002B218A" w:rsidP="00906EA2">
            <w:pPr>
              <w:spacing w:after="0" w:line="240" w:lineRule="auto"/>
              <w:rPr>
                <w:rFonts w:ascii="Times New Roman" w:eastAsia="Times New Roman" w:hAnsi="Times New Roman" w:cs="Times New Roman"/>
                <w:color w:val="000000"/>
                <w:sz w:val="24"/>
                <w:szCs w:val="24"/>
              </w:rPr>
            </w:pPr>
          </w:p>
        </w:tc>
        <w:tc>
          <w:tcPr>
            <w:tcW w:w="1627" w:type="dxa"/>
            <w:shd w:val="clear" w:color="auto" w:fill="auto"/>
            <w:noWrap/>
            <w:vAlign w:val="bottom"/>
            <w:hideMark/>
          </w:tcPr>
          <w:p w14:paraId="7A735E30"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(5.370)</w:t>
            </w:r>
          </w:p>
        </w:tc>
        <w:tc>
          <w:tcPr>
            <w:tcW w:w="1411" w:type="dxa"/>
            <w:vAlign w:val="bottom"/>
          </w:tcPr>
          <w:p w14:paraId="36F1455C"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(7.553)</w:t>
            </w:r>
          </w:p>
        </w:tc>
        <w:tc>
          <w:tcPr>
            <w:tcW w:w="1735" w:type="dxa"/>
            <w:shd w:val="clear" w:color="auto" w:fill="auto"/>
            <w:noWrap/>
            <w:vAlign w:val="bottom"/>
          </w:tcPr>
          <w:p w14:paraId="60FE9FE1"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(4.642)</w:t>
            </w:r>
          </w:p>
        </w:tc>
        <w:tc>
          <w:tcPr>
            <w:tcW w:w="1865" w:type="dxa"/>
            <w:vAlign w:val="bottom"/>
          </w:tcPr>
          <w:p w14:paraId="23486331"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(4.814)</w:t>
            </w:r>
          </w:p>
        </w:tc>
      </w:tr>
      <w:tr w:rsidR="002B218A" w:rsidRPr="00C1008C" w14:paraId="3F35D1C1" w14:textId="77777777" w:rsidTr="00736FF9">
        <w:trPr>
          <w:gridBefore w:val="1"/>
          <w:wBefore w:w="37" w:type="dxa"/>
          <w:trHeight w:val="279"/>
        </w:trPr>
        <w:tc>
          <w:tcPr>
            <w:tcW w:w="2522" w:type="dxa"/>
            <w:shd w:val="clear" w:color="auto" w:fill="auto"/>
            <w:noWrap/>
            <w:vAlign w:val="bottom"/>
            <w:hideMark/>
          </w:tcPr>
          <w:p w14:paraId="6E1EE1C1" w14:textId="6ED2513F" w:rsidR="002B218A" w:rsidRPr="00C1008C" w:rsidRDefault="002B218A" w:rsidP="00906EA2">
            <w:pPr>
              <w:spacing w:after="0" w:line="240" w:lineRule="auto"/>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ASCON</w:t>
            </w:r>
          </w:p>
        </w:tc>
        <w:tc>
          <w:tcPr>
            <w:tcW w:w="1627" w:type="dxa"/>
            <w:shd w:val="clear" w:color="auto" w:fill="auto"/>
            <w:noWrap/>
            <w:vAlign w:val="bottom"/>
            <w:hideMark/>
          </w:tcPr>
          <w:p w14:paraId="31C79A08"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0.044***</w:t>
            </w:r>
          </w:p>
        </w:tc>
        <w:tc>
          <w:tcPr>
            <w:tcW w:w="1411" w:type="dxa"/>
            <w:vAlign w:val="bottom"/>
          </w:tcPr>
          <w:p w14:paraId="516CF48E"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0.046***</w:t>
            </w:r>
          </w:p>
        </w:tc>
        <w:tc>
          <w:tcPr>
            <w:tcW w:w="1735" w:type="dxa"/>
            <w:shd w:val="clear" w:color="auto" w:fill="auto"/>
            <w:noWrap/>
            <w:vAlign w:val="bottom"/>
          </w:tcPr>
          <w:p w14:paraId="5BEEC8A5"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p>
        </w:tc>
        <w:tc>
          <w:tcPr>
            <w:tcW w:w="1865" w:type="dxa"/>
            <w:vAlign w:val="bottom"/>
          </w:tcPr>
          <w:p w14:paraId="729452B5"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p>
        </w:tc>
      </w:tr>
      <w:tr w:rsidR="002B218A" w:rsidRPr="00C1008C" w14:paraId="118EE92D" w14:textId="77777777" w:rsidTr="00736FF9">
        <w:trPr>
          <w:gridBefore w:val="1"/>
          <w:wBefore w:w="37" w:type="dxa"/>
          <w:trHeight w:val="279"/>
        </w:trPr>
        <w:tc>
          <w:tcPr>
            <w:tcW w:w="2522" w:type="dxa"/>
            <w:shd w:val="clear" w:color="auto" w:fill="auto"/>
            <w:noWrap/>
            <w:vAlign w:val="bottom"/>
            <w:hideMark/>
          </w:tcPr>
          <w:p w14:paraId="0EBCB774" w14:textId="77777777" w:rsidR="002B218A" w:rsidRPr="00C1008C" w:rsidRDefault="002B218A" w:rsidP="00906EA2">
            <w:pPr>
              <w:spacing w:after="0" w:line="240" w:lineRule="auto"/>
              <w:rPr>
                <w:rFonts w:ascii="Times New Roman" w:eastAsia="Times New Roman" w:hAnsi="Times New Roman" w:cs="Times New Roman"/>
                <w:color w:val="000000"/>
                <w:sz w:val="24"/>
                <w:szCs w:val="24"/>
              </w:rPr>
            </w:pPr>
          </w:p>
        </w:tc>
        <w:tc>
          <w:tcPr>
            <w:tcW w:w="1627" w:type="dxa"/>
            <w:shd w:val="clear" w:color="auto" w:fill="auto"/>
            <w:noWrap/>
            <w:vAlign w:val="bottom"/>
            <w:hideMark/>
          </w:tcPr>
          <w:p w14:paraId="78D6848D"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(-17.496)</w:t>
            </w:r>
          </w:p>
        </w:tc>
        <w:tc>
          <w:tcPr>
            <w:tcW w:w="1411" w:type="dxa"/>
            <w:vAlign w:val="bottom"/>
          </w:tcPr>
          <w:p w14:paraId="58A803E4"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(-13.502)</w:t>
            </w:r>
          </w:p>
        </w:tc>
        <w:tc>
          <w:tcPr>
            <w:tcW w:w="1735" w:type="dxa"/>
            <w:shd w:val="clear" w:color="auto" w:fill="auto"/>
            <w:noWrap/>
            <w:vAlign w:val="bottom"/>
          </w:tcPr>
          <w:p w14:paraId="40AA269B"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p>
        </w:tc>
        <w:tc>
          <w:tcPr>
            <w:tcW w:w="1865" w:type="dxa"/>
            <w:vAlign w:val="bottom"/>
          </w:tcPr>
          <w:p w14:paraId="5A97EDE9"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p>
        </w:tc>
      </w:tr>
      <w:tr w:rsidR="002B218A" w:rsidRPr="00C1008C" w14:paraId="58CC8173" w14:textId="77777777" w:rsidTr="00736FF9">
        <w:trPr>
          <w:gridBefore w:val="1"/>
          <w:wBefore w:w="37" w:type="dxa"/>
          <w:trHeight w:val="279"/>
        </w:trPr>
        <w:tc>
          <w:tcPr>
            <w:tcW w:w="2522" w:type="dxa"/>
            <w:shd w:val="clear" w:color="auto" w:fill="auto"/>
            <w:noWrap/>
            <w:vAlign w:val="bottom"/>
            <w:hideMark/>
          </w:tcPr>
          <w:p w14:paraId="32941B8C" w14:textId="7F18A080" w:rsidR="002B218A" w:rsidRPr="00C1008C" w:rsidRDefault="002B218A" w:rsidP="00906EA2">
            <w:pPr>
              <w:spacing w:after="0" w:line="240" w:lineRule="auto"/>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DECON</w:t>
            </w:r>
          </w:p>
        </w:tc>
        <w:tc>
          <w:tcPr>
            <w:tcW w:w="1627" w:type="dxa"/>
            <w:shd w:val="clear" w:color="auto" w:fill="auto"/>
            <w:noWrap/>
            <w:vAlign w:val="bottom"/>
          </w:tcPr>
          <w:p w14:paraId="76F1862C"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p>
        </w:tc>
        <w:tc>
          <w:tcPr>
            <w:tcW w:w="1411" w:type="dxa"/>
            <w:vAlign w:val="bottom"/>
          </w:tcPr>
          <w:p w14:paraId="2AB54EA8"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p>
        </w:tc>
        <w:tc>
          <w:tcPr>
            <w:tcW w:w="1735" w:type="dxa"/>
            <w:shd w:val="clear" w:color="auto" w:fill="auto"/>
            <w:noWrap/>
            <w:vAlign w:val="bottom"/>
          </w:tcPr>
          <w:p w14:paraId="08974280"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0.001*</w:t>
            </w:r>
          </w:p>
        </w:tc>
        <w:tc>
          <w:tcPr>
            <w:tcW w:w="1865" w:type="dxa"/>
            <w:vAlign w:val="bottom"/>
          </w:tcPr>
          <w:p w14:paraId="2DDED635"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0.001**</w:t>
            </w:r>
          </w:p>
        </w:tc>
      </w:tr>
      <w:tr w:rsidR="002B218A" w:rsidRPr="00C1008C" w14:paraId="56635BD5" w14:textId="77777777" w:rsidTr="00736FF9">
        <w:trPr>
          <w:gridBefore w:val="1"/>
          <w:wBefore w:w="37" w:type="dxa"/>
          <w:trHeight w:val="279"/>
        </w:trPr>
        <w:tc>
          <w:tcPr>
            <w:tcW w:w="2522" w:type="dxa"/>
            <w:shd w:val="clear" w:color="auto" w:fill="auto"/>
            <w:noWrap/>
            <w:vAlign w:val="bottom"/>
            <w:hideMark/>
          </w:tcPr>
          <w:p w14:paraId="388EFC95" w14:textId="77777777" w:rsidR="002B218A" w:rsidRPr="00C1008C" w:rsidRDefault="002B218A" w:rsidP="00906EA2">
            <w:pPr>
              <w:spacing w:after="0" w:line="240" w:lineRule="auto"/>
              <w:rPr>
                <w:rFonts w:ascii="Times New Roman" w:eastAsia="Times New Roman" w:hAnsi="Times New Roman" w:cs="Times New Roman"/>
                <w:color w:val="000000"/>
                <w:sz w:val="24"/>
                <w:szCs w:val="24"/>
              </w:rPr>
            </w:pPr>
          </w:p>
        </w:tc>
        <w:tc>
          <w:tcPr>
            <w:tcW w:w="1627" w:type="dxa"/>
            <w:shd w:val="clear" w:color="auto" w:fill="auto"/>
            <w:noWrap/>
            <w:vAlign w:val="bottom"/>
          </w:tcPr>
          <w:p w14:paraId="607CB7DE"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p>
        </w:tc>
        <w:tc>
          <w:tcPr>
            <w:tcW w:w="1411" w:type="dxa"/>
            <w:vAlign w:val="bottom"/>
          </w:tcPr>
          <w:p w14:paraId="2BA6B463"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p>
        </w:tc>
        <w:tc>
          <w:tcPr>
            <w:tcW w:w="1735" w:type="dxa"/>
            <w:shd w:val="clear" w:color="auto" w:fill="auto"/>
            <w:noWrap/>
            <w:vAlign w:val="bottom"/>
          </w:tcPr>
          <w:p w14:paraId="356313A8"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(-1.814)</w:t>
            </w:r>
          </w:p>
        </w:tc>
        <w:tc>
          <w:tcPr>
            <w:tcW w:w="1865" w:type="dxa"/>
            <w:vAlign w:val="bottom"/>
          </w:tcPr>
          <w:p w14:paraId="34F5D7C4"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(-2.537)</w:t>
            </w:r>
          </w:p>
        </w:tc>
      </w:tr>
      <w:tr w:rsidR="002B218A" w:rsidRPr="00C1008C" w14:paraId="3DF43D62" w14:textId="77777777" w:rsidTr="00736FF9">
        <w:trPr>
          <w:gridBefore w:val="1"/>
          <w:wBefore w:w="37" w:type="dxa"/>
          <w:trHeight w:val="279"/>
        </w:trPr>
        <w:tc>
          <w:tcPr>
            <w:tcW w:w="2522" w:type="dxa"/>
            <w:shd w:val="clear" w:color="auto" w:fill="auto"/>
            <w:noWrap/>
            <w:vAlign w:val="bottom"/>
            <w:hideMark/>
          </w:tcPr>
          <w:p w14:paraId="3CC6EE38" w14:textId="5EE37365" w:rsidR="002B218A" w:rsidRPr="00C1008C" w:rsidRDefault="002B218A" w:rsidP="00906EA2">
            <w:pPr>
              <w:spacing w:after="0" w:line="240" w:lineRule="auto"/>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FOWN</w:t>
            </w:r>
          </w:p>
        </w:tc>
        <w:tc>
          <w:tcPr>
            <w:tcW w:w="1627" w:type="dxa"/>
            <w:shd w:val="clear" w:color="auto" w:fill="auto"/>
            <w:noWrap/>
            <w:vAlign w:val="bottom"/>
          </w:tcPr>
          <w:p w14:paraId="36ADAD24"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-0.003***</w:t>
            </w:r>
          </w:p>
        </w:tc>
        <w:tc>
          <w:tcPr>
            <w:tcW w:w="1411" w:type="dxa"/>
            <w:vAlign w:val="bottom"/>
          </w:tcPr>
          <w:p w14:paraId="3FD80CE7"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0.012***</w:t>
            </w:r>
          </w:p>
        </w:tc>
        <w:tc>
          <w:tcPr>
            <w:tcW w:w="1735" w:type="dxa"/>
            <w:shd w:val="clear" w:color="auto" w:fill="auto"/>
            <w:noWrap/>
            <w:vAlign w:val="bottom"/>
          </w:tcPr>
          <w:p w14:paraId="5E73D70D"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-0.001**</w:t>
            </w:r>
          </w:p>
        </w:tc>
        <w:tc>
          <w:tcPr>
            <w:tcW w:w="1865" w:type="dxa"/>
            <w:vAlign w:val="bottom"/>
          </w:tcPr>
          <w:p w14:paraId="1D0E0576"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-0.001**</w:t>
            </w:r>
          </w:p>
        </w:tc>
      </w:tr>
      <w:tr w:rsidR="002B218A" w:rsidRPr="00C1008C" w14:paraId="5BFB0068" w14:textId="77777777" w:rsidTr="00736FF9">
        <w:trPr>
          <w:gridBefore w:val="1"/>
          <w:wBefore w:w="37" w:type="dxa"/>
          <w:trHeight w:val="279"/>
        </w:trPr>
        <w:tc>
          <w:tcPr>
            <w:tcW w:w="2522" w:type="dxa"/>
            <w:shd w:val="clear" w:color="auto" w:fill="auto"/>
            <w:noWrap/>
            <w:vAlign w:val="bottom"/>
            <w:hideMark/>
          </w:tcPr>
          <w:p w14:paraId="5DE3B74F" w14:textId="77777777" w:rsidR="002B218A" w:rsidRPr="00C1008C" w:rsidRDefault="002B218A" w:rsidP="00906EA2">
            <w:pPr>
              <w:spacing w:after="0" w:line="240" w:lineRule="auto"/>
              <w:rPr>
                <w:rFonts w:ascii="Times New Roman" w:eastAsia="Times New Roman" w:hAnsi="Times New Roman" w:cs="Times New Roman"/>
                <w:color w:val="000000"/>
                <w:sz w:val="24"/>
                <w:szCs w:val="24"/>
              </w:rPr>
            </w:pPr>
          </w:p>
        </w:tc>
        <w:tc>
          <w:tcPr>
            <w:tcW w:w="1627" w:type="dxa"/>
            <w:shd w:val="clear" w:color="auto" w:fill="auto"/>
            <w:noWrap/>
            <w:vAlign w:val="bottom"/>
          </w:tcPr>
          <w:p w14:paraId="03FC4252"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(1.422)</w:t>
            </w:r>
          </w:p>
        </w:tc>
        <w:tc>
          <w:tcPr>
            <w:tcW w:w="1411" w:type="dxa"/>
            <w:vAlign w:val="bottom"/>
          </w:tcPr>
          <w:p w14:paraId="7F88F77C"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(-4.008)</w:t>
            </w:r>
          </w:p>
        </w:tc>
        <w:tc>
          <w:tcPr>
            <w:tcW w:w="1735" w:type="dxa"/>
            <w:shd w:val="clear" w:color="auto" w:fill="auto"/>
            <w:noWrap/>
            <w:vAlign w:val="bottom"/>
          </w:tcPr>
          <w:p w14:paraId="448B5CFD"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(2.282)</w:t>
            </w:r>
          </w:p>
        </w:tc>
        <w:tc>
          <w:tcPr>
            <w:tcW w:w="1865" w:type="dxa"/>
            <w:vAlign w:val="bottom"/>
          </w:tcPr>
          <w:p w14:paraId="317B2303"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(2.236)</w:t>
            </w:r>
          </w:p>
        </w:tc>
      </w:tr>
      <w:tr w:rsidR="002B218A" w:rsidRPr="00C1008C" w14:paraId="345E833B" w14:textId="77777777" w:rsidTr="00736FF9">
        <w:trPr>
          <w:gridBefore w:val="1"/>
          <w:wBefore w:w="37" w:type="dxa"/>
          <w:trHeight w:val="279"/>
        </w:trPr>
        <w:tc>
          <w:tcPr>
            <w:tcW w:w="2522" w:type="dxa"/>
            <w:shd w:val="clear" w:color="auto" w:fill="auto"/>
            <w:noWrap/>
            <w:vAlign w:val="bottom"/>
            <w:hideMark/>
          </w:tcPr>
          <w:p w14:paraId="474B7936" w14:textId="6D498509" w:rsidR="002B218A" w:rsidRPr="00C1008C" w:rsidRDefault="002B218A" w:rsidP="00906EA2">
            <w:pPr>
              <w:spacing w:after="0" w:line="240" w:lineRule="auto"/>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GOWN</w:t>
            </w:r>
          </w:p>
        </w:tc>
        <w:tc>
          <w:tcPr>
            <w:tcW w:w="1627" w:type="dxa"/>
            <w:shd w:val="clear" w:color="auto" w:fill="auto"/>
            <w:noWrap/>
            <w:vAlign w:val="bottom"/>
          </w:tcPr>
          <w:p w14:paraId="3575E7E1"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-0.092***</w:t>
            </w:r>
          </w:p>
        </w:tc>
        <w:tc>
          <w:tcPr>
            <w:tcW w:w="1411" w:type="dxa"/>
            <w:vAlign w:val="bottom"/>
          </w:tcPr>
          <w:p w14:paraId="074D85B9"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-0.123***</w:t>
            </w:r>
          </w:p>
        </w:tc>
        <w:tc>
          <w:tcPr>
            <w:tcW w:w="1735" w:type="dxa"/>
            <w:shd w:val="clear" w:color="auto" w:fill="auto"/>
            <w:noWrap/>
            <w:vAlign w:val="bottom"/>
          </w:tcPr>
          <w:p w14:paraId="440FBBA9"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-0.002***</w:t>
            </w:r>
          </w:p>
        </w:tc>
        <w:tc>
          <w:tcPr>
            <w:tcW w:w="1865" w:type="dxa"/>
            <w:vAlign w:val="bottom"/>
          </w:tcPr>
          <w:p w14:paraId="2A9F17BD"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-0.001***</w:t>
            </w:r>
          </w:p>
        </w:tc>
      </w:tr>
      <w:tr w:rsidR="002B218A" w:rsidRPr="00C1008C" w14:paraId="15077AF2" w14:textId="77777777" w:rsidTr="00736FF9">
        <w:trPr>
          <w:gridBefore w:val="1"/>
          <w:wBefore w:w="37" w:type="dxa"/>
          <w:trHeight w:val="279"/>
        </w:trPr>
        <w:tc>
          <w:tcPr>
            <w:tcW w:w="2522" w:type="dxa"/>
            <w:shd w:val="clear" w:color="auto" w:fill="auto"/>
            <w:noWrap/>
            <w:vAlign w:val="bottom"/>
            <w:hideMark/>
          </w:tcPr>
          <w:p w14:paraId="28DD328C" w14:textId="77777777" w:rsidR="002B218A" w:rsidRPr="00C1008C" w:rsidRDefault="002B218A" w:rsidP="00906EA2">
            <w:pPr>
              <w:spacing w:after="0" w:line="240" w:lineRule="auto"/>
              <w:rPr>
                <w:rFonts w:ascii="Times New Roman" w:eastAsia="Times New Roman" w:hAnsi="Times New Roman" w:cs="Times New Roman"/>
                <w:color w:val="000000"/>
                <w:sz w:val="24"/>
                <w:szCs w:val="24"/>
              </w:rPr>
            </w:pPr>
          </w:p>
        </w:tc>
        <w:tc>
          <w:tcPr>
            <w:tcW w:w="1627" w:type="dxa"/>
            <w:shd w:val="clear" w:color="auto" w:fill="auto"/>
            <w:noWrap/>
            <w:vAlign w:val="bottom"/>
          </w:tcPr>
          <w:p w14:paraId="48E8DC9B"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(31.956)</w:t>
            </w:r>
          </w:p>
        </w:tc>
        <w:tc>
          <w:tcPr>
            <w:tcW w:w="1411" w:type="dxa"/>
            <w:vAlign w:val="bottom"/>
          </w:tcPr>
          <w:p w14:paraId="2864058B"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(16.327)</w:t>
            </w:r>
          </w:p>
        </w:tc>
        <w:tc>
          <w:tcPr>
            <w:tcW w:w="1735" w:type="dxa"/>
            <w:shd w:val="clear" w:color="auto" w:fill="auto"/>
            <w:noWrap/>
            <w:vAlign w:val="bottom"/>
          </w:tcPr>
          <w:p w14:paraId="20357A2B"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(4.358)</w:t>
            </w:r>
          </w:p>
        </w:tc>
        <w:tc>
          <w:tcPr>
            <w:tcW w:w="1865" w:type="dxa"/>
            <w:vAlign w:val="bottom"/>
          </w:tcPr>
          <w:p w14:paraId="3E9C80D7"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(3.461)</w:t>
            </w:r>
          </w:p>
        </w:tc>
      </w:tr>
      <w:tr w:rsidR="002B218A" w:rsidRPr="00C1008C" w14:paraId="748141FA" w14:textId="77777777" w:rsidTr="00736FF9">
        <w:trPr>
          <w:trHeight w:val="285"/>
        </w:trPr>
        <w:tc>
          <w:tcPr>
            <w:tcW w:w="2559" w:type="dxa"/>
            <w:gridSpan w:val="2"/>
            <w:shd w:val="clear" w:color="auto" w:fill="auto"/>
            <w:noWrap/>
            <w:vAlign w:val="bottom"/>
            <w:hideMark/>
          </w:tcPr>
          <w:p w14:paraId="20CC74DE" w14:textId="129AA846" w:rsidR="002B218A" w:rsidRPr="00C1008C" w:rsidRDefault="00D042FA" w:rsidP="00906EA2">
            <w:pPr>
              <w:spacing w:after="0" w:line="240" w:lineRule="auto"/>
              <w:rPr>
                <w:rFonts w:ascii="Times New Roman" w:eastAsia="Times New Roman" w:hAnsi="Times New Roman" w:cs="Times New Roman"/>
                <w:color w:val="000000"/>
                <w:sz w:val="24"/>
                <w:szCs w:val="24"/>
              </w:rPr>
            </w:pPr>
            <w:proofErr w:type="spellStart"/>
            <w:r w:rsidRPr="00C1008C">
              <w:rPr>
                <w:rFonts w:ascii="Times New Roman" w:eastAsia="Times New Roman" w:hAnsi="Times New Roman" w:cs="Times New Roman"/>
                <w:color w:val="000000"/>
                <w:sz w:val="24"/>
                <w:szCs w:val="24"/>
              </w:rPr>
              <w:t>Số</w:t>
            </w:r>
            <w:proofErr w:type="spellEnd"/>
            <w:r w:rsidRPr="00C1008C">
              <w:rPr>
                <w:rFonts w:ascii="Times New Roman" w:eastAsia="Times New Roman" w:hAnsi="Times New Roman" w:cs="Times New Roman"/>
                <w:color w:val="000000"/>
                <w:sz w:val="24"/>
                <w:szCs w:val="24"/>
              </w:rPr>
              <w:t xml:space="preserve"> </w:t>
            </w:r>
            <w:proofErr w:type="spellStart"/>
            <w:r w:rsidRPr="00C1008C">
              <w:rPr>
                <w:rFonts w:ascii="Times New Roman" w:eastAsia="Times New Roman" w:hAnsi="Times New Roman" w:cs="Times New Roman"/>
                <w:color w:val="000000"/>
                <w:sz w:val="24"/>
                <w:szCs w:val="24"/>
              </w:rPr>
              <w:t>lượng</w:t>
            </w:r>
            <w:proofErr w:type="spellEnd"/>
            <w:r w:rsidRPr="00C1008C">
              <w:rPr>
                <w:rFonts w:ascii="Times New Roman" w:eastAsia="Times New Roman" w:hAnsi="Times New Roman" w:cs="Times New Roman"/>
                <w:color w:val="000000"/>
                <w:sz w:val="24"/>
                <w:szCs w:val="24"/>
              </w:rPr>
              <w:t xml:space="preserve"> </w:t>
            </w:r>
            <w:proofErr w:type="spellStart"/>
            <w:r w:rsidRPr="00C1008C">
              <w:rPr>
                <w:rFonts w:ascii="Times New Roman" w:eastAsia="Times New Roman" w:hAnsi="Times New Roman" w:cs="Times New Roman"/>
                <w:color w:val="000000"/>
                <w:sz w:val="24"/>
                <w:szCs w:val="24"/>
              </w:rPr>
              <w:t>ngân</w:t>
            </w:r>
            <w:proofErr w:type="spellEnd"/>
            <w:r w:rsidRPr="00C1008C">
              <w:rPr>
                <w:rFonts w:ascii="Times New Roman" w:eastAsia="Times New Roman" w:hAnsi="Times New Roman" w:cs="Times New Roman"/>
                <w:color w:val="000000"/>
                <w:sz w:val="24"/>
                <w:szCs w:val="24"/>
              </w:rPr>
              <w:t xml:space="preserve"> </w:t>
            </w:r>
            <w:proofErr w:type="spellStart"/>
            <w:r w:rsidRPr="00C1008C">
              <w:rPr>
                <w:rFonts w:ascii="Times New Roman" w:eastAsia="Times New Roman" w:hAnsi="Times New Roman" w:cs="Times New Roman"/>
                <w:color w:val="000000"/>
                <w:sz w:val="24"/>
                <w:szCs w:val="24"/>
              </w:rPr>
              <w:t>hàng</w:t>
            </w:r>
            <w:proofErr w:type="spellEnd"/>
          </w:p>
        </w:tc>
        <w:tc>
          <w:tcPr>
            <w:tcW w:w="1627" w:type="dxa"/>
            <w:shd w:val="clear" w:color="auto" w:fill="auto"/>
            <w:noWrap/>
            <w:vAlign w:val="bottom"/>
            <w:hideMark/>
          </w:tcPr>
          <w:p w14:paraId="5EAC29C2"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474</w:t>
            </w:r>
          </w:p>
        </w:tc>
        <w:tc>
          <w:tcPr>
            <w:tcW w:w="1411" w:type="dxa"/>
            <w:vAlign w:val="bottom"/>
          </w:tcPr>
          <w:p w14:paraId="0DCAF1C3"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474</w:t>
            </w:r>
          </w:p>
        </w:tc>
        <w:tc>
          <w:tcPr>
            <w:tcW w:w="1735" w:type="dxa"/>
            <w:shd w:val="clear" w:color="auto" w:fill="auto"/>
            <w:noWrap/>
            <w:vAlign w:val="bottom"/>
          </w:tcPr>
          <w:p w14:paraId="3DA98A1A"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474</w:t>
            </w:r>
          </w:p>
        </w:tc>
        <w:tc>
          <w:tcPr>
            <w:tcW w:w="1865" w:type="dxa"/>
            <w:vAlign w:val="bottom"/>
          </w:tcPr>
          <w:p w14:paraId="2C23CD21"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474</w:t>
            </w:r>
          </w:p>
        </w:tc>
      </w:tr>
      <w:tr w:rsidR="002B218A" w:rsidRPr="00C1008C" w14:paraId="016E7B15" w14:textId="77777777" w:rsidTr="00736FF9">
        <w:trPr>
          <w:trHeight w:val="285"/>
        </w:trPr>
        <w:tc>
          <w:tcPr>
            <w:tcW w:w="2559" w:type="dxa"/>
            <w:gridSpan w:val="2"/>
            <w:tcBorders>
              <w:bottom w:val="single" w:sz="4" w:space="0" w:color="auto"/>
            </w:tcBorders>
            <w:shd w:val="clear" w:color="auto" w:fill="auto"/>
            <w:noWrap/>
            <w:vAlign w:val="bottom"/>
          </w:tcPr>
          <w:p w14:paraId="1DCD0F9B" w14:textId="35932908" w:rsidR="002B218A" w:rsidRPr="00C1008C" w:rsidRDefault="00D042FA" w:rsidP="00906EA2">
            <w:pPr>
              <w:spacing w:after="0" w:line="240" w:lineRule="auto"/>
              <w:rPr>
                <w:rFonts w:ascii="Times New Roman" w:eastAsia="Times New Roman" w:hAnsi="Times New Roman" w:cs="Times New Roman"/>
                <w:color w:val="000000"/>
                <w:sz w:val="24"/>
                <w:szCs w:val="24"/>
              </w:rPr>
            </w:pPr>
            <w:proofErr w:type="spellStart"/>
            <w:r w:rsidRPr="00C1008C">
              <w:rPr>
                <w:rFonts w:ascii="Times New Roman" w:eastAsia="Times New Roman" w:hAnsi="Times New Roman" w:cs="Times New Roman"/>
                <w:color w:val="000000"/>
                <w:sz w:val="24"/>
                <w:szCs w:val="24"/>
              </w:rPr>
              <w:t>Số</w:t>
            </w:r>
            <w:proofErr w:type="spellEnd"/>
            <w:r w:rsidRPr="00C1008C">
              <w:rPr>
                <w:rFonts w:ascii="Times New Roman" w:eastAsia="Times New Roman" w:hAnsi="Times New Roman" w:cs="Times New Roman"/>
                <w:color w:val="000000"/>
                <w:sz w:val="24"/>
                <w:szCs w:val="24"/>
              </w:rPr>
              <w:t xml:space="preserve"> </w:t>
            </w:r>
            <w:proofErr w:type="spellStart"/>
            <w:r w:rsidRPr="00C1008C">
              <w:rPr>
                <w:rFonts w:ascii="Times New Roman" w:eastAsia="Times New Roman" w:hAnsi="Times New Roman" w:cs="Times New Roman"/>
                <w:color w:val="000000"/>
                <w:sz w:val="24"/>
                <w:szCs w:val="24"/>
              </w:rPr>
              <w:t>quan</w:t>
            </w:r>
            <w:proofErr w:type="spellEnd"/>
            <w:r w:rsidRPr="00C1008C">
              <w:rPr>
                <w:rFonts w:ascii="Times New Roman" w:eastAsia="Times New Roman" w:hAnsi="Times New Roman" w:cs="Times New Roman"/>
                <w:color w:val="000000"/>
                <w:sz w:val="24"/>
                <w:szCs w:val="24"/>
              </w:rPr>
              <w:t xml:space="preserve"> </w:t>
            </w:r>
            <w:proofErr w:type="spellStart"/>
            <w:r w:rsidRPr="00C1008C">
              <w:rPr>
                <w:rFonts w:ascii="Times New Roman" w:eastAsia="Times New Roman" w:hAnsi="Times New Roman" w:cs="Times New Roman"/>
                <w:color w:val="000000"/>
                <w:sz w:val="24"/>
                <w:szCs w:val="24"/>
              </w:rPr>
              <w:t>sát</w:t>
            </w:r>
            <w:proofErr w:type="spellEnd"/>
          </w:p>
        </w:tc>
        <w:tc>
          <w:tcPr>
            <w:tcW w:w="1627" w:type="dxa"/>
            <w:tcBorders>
              <w:bottom w:val="single" w:sz="4" w:space="0" w:color="auto"/>
            </w:tcBorders>
            <w:shd w:val="clear" w:color="auto" w:fill="auto"/>
            <w:noWrap/>
            <w:vAlign w:val="bottom"/>
          </w:tcPr>
          <w:p w14:paraId="5EDC637B"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6558</w:t>
            </w:r>
          </w:p>
        </w:tc>
        <w:tc>
          <w:tcPr>
            <w:tcW w:w="1411" w:type="dxa"/>
            <w:tcBorders>
              <w:bottom w:val="single" w:sz="4" w:space="0" w:color="auto"/>
            </w:tcBorders>
            <w:vAlign w:val="bottom"/>
          </w:tcPr>
          <w:p w14:paraId="47E14C09"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5938</w:t>
            </w:r>
          </w:p>
        </w:tc>
        <w:tc>
          <w:tcPr>
            <w:tcW w:w="1735" w:type="dxa"/>
            <w:tcBorders>
              <w:bottom w:val="single" w:sz="4" w:space="0" w:color="auto"/>
            </w:tcBorders>
            <w:shd w:val="clear" w:color="auto" w:fill="auto"/>
            <w:noWrap/>
            <w:vAlign w:val="bottom"/>
          </w:tcPr>
          <w:p w14:paraId="292ED3C1"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6558</w:t>
            </w:r>
          </w:p>
        </w:tc>
        <w:tc>
          <w:tcPr>
            <w:tcW w:w="1865" w:type="dxa"/>
            <w:tcBorders>
              <w:bottom w:val="single" w:sz="4" w:space="0" w:color="auto"/>
            </w:tcBorders>
            <w:vAlign w:val="bottom"/>
          </w:tcPr>
          <w:p w14:paraId="047E6ED4" w14:textId="77777777" w:rsidR="002B218A" w:rsidRPr="00C1008C" w:rsidRDefault="002B218A" w:rsidP="00906EA2">
            <w:pPr>
              <w:spacing w:after="0" w:line="240" w:lineRule="auto"/>
              <w:jc w:val="center"/>
              <w:rPr>
                <w:rFonts w:ascii="Times New Roman" w:eastAsia="Times New Roman" w:hAnsi="Times New Roman" w:cs="Times New Roman"/>
                <w:color w:val="000000"/>
                <w:sz w:val="24"/>
                <w:szCs w:val="24"/>
              </w:rPr>
            </w:pPr>
            <w:r w:rsidRPr="00C1008C">
              <w:rPr>
                <w:rFonts w:ascii="Times New Roman" w:eastAsia="Times New Roman" w:hAnsi="Times New Roman" w:cs="Times New Roman"/>
                <w:color w:val="000000"/>
                <w:sz w:val="24"/>
                <w:szCs w:val="24"/>
              </w:rPr>
              <w:t>5938</w:t>
            </w:r>
          </w:p>
        </w:tc>
      </w:tr>
    </w:tbl>
    <w:p w14:paraId="0E9E46D3" w14:textId="650C1125" w:rsidR="002A35C2" w:rsidRPr="00593435" w:rsidRDefault="002A35C2" w:rsidP="008218C1">
      <w:pPr>
        <w:spacing w:before="120" w:after="0" w:line="312" w:lineRule="auto"/>
        <w:jc w:val="both"/>
        <w:rPr>
          <w:rFonts w:ascii="Times New Roman" w:hAnsi="Times New Roman" w:cs="Times New Roman"/>
          <w:sz w:val="24"/>
          <w:szCs w:val="24"/>
        </w:rPr>
      </w:pPr>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cho</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biết</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mức</w:t>
      </w:r>
      <w:proofErr w:type="spellEnd"/>
      <w:r w:rsidRPr="00593435">
        <w:rPr>
          <w:rFonts w:ascii="Times New Roman" w:hAnsi="Times New Roman" w:cs="Times New Roman"/>
          <w:sz w:val="24"/>
          <w:szCs w:val="24"/>
        </w:rPr>
        <w:t xml:space="preserve"> ý </w:t>
      </w:r>
      <w:proofErr w:type="spellStart"/>
      <w:r w:rsidRPr="00593435">
        <w:rPr>
          <w:rFonts w:ascii="Times New Roman" w:hAnsi="Times New Roman" w:cs="Times New Roman"/>
          <w:sz w:val="24"/>
          <w:szCs w:val="24"/>
        </w:rPr>
        <w:t>nghĩa</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tương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ứng</w:t>
      </w:r>
      <w:proofErr w:type="spellEnd"/>
      <w:r w:rsidRPr="00593435">
        <w:rPr>
          <w:rFonts w:ascii="Times New Roman" w:hAnsi="Times New Roman" w:cs="Times New Roman"/>
          <w:sz w:val="24"/>
          <w:szCs w:val="24"/>
        </w:rPr>
        <w:t xml:space="preserve"> </w:t>
      </w:r>
      <w:proofErr w:type="spellStart"/>
      <w:r w:rsidRPr="00593435">
        <w:rPr>
          <w:rFonts w:ascii="Times New Roman" w:hAnsi="Times New Roman" w:cs="Times New Roman"/>
          <w:sz w:val="24"/>
          <w:szCs w:val="24"/>
        </w:rPr>
        <w:t>là</w:t>
      </w:r>
      <w:proofErr w:type="spellEnd"/>
      <w:r w:rsidRPr="00593435">
        <w:rPr>
          <w:rFonts w:ascii="Times New Roman" w:hAnsi="Times New Roman" w:cs="Times New Roman"/>
          <w:sz w:val="24"/>
          <w:szCs w:val="24"/>
        </w:rPr>
        <w:t xml:space="preserve"> 10%, 5% </w:t>
      </w:r>
      <w:proofErr w:type="spellStart"/>
      <w:r w:rsidRPr="00593435">
        <w:rPr>
          <w:rFonts w:ascii="Times New Roman" w:hAnsi="Times New Roman" w:cs="Times New Roman"/>
          <w:sz w:val="24"/>
          <w:szCs w:val="24"/>
        </w:rPr>
        <w:t>và</w:t>
      </w:r>
      <w:proofErr w:type="spellEnd"/>
      <w:r w:rsidRPr="00593435">
        <w:rPr>
          <w:rFonts w:ascii="Times New Roman" w:hAnsi="Times New Roman" w:cs="Times New Roman"/>
          <w:sz w:val="24"/>
          <w:szCs w:val="24"/>
        </w:rPr>
        <w:t xml:space="preserve"> 1%.</w:t>
      </w:r>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Dấu</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của</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các</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hệ</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số</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hồi</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quy</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được</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đảo</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ngược</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để</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việc</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đọc</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kết</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quả</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được</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dễ</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dàng</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hơn</w:t>
      </w:r>
      <w:proofErr w:type="spellEnd"/>
      <w:r w:rsidR="00C53330">
        <w:rPr>
          <w:rFonts w:ascii="Times New Roman" w:hAnsi="Times New Roman" w:cs="Times New Roman"/>
          <w:sz w:val="24"/>
          <w:szCs w:val="24"/>
        </w:rPr>
        <w:t xml:space="preserve">. Do </w:t>
      </w:r>
      <w:proofErr w:type="spellStart"/>
      <w:r w:rsidR="00C53330">
        <w:rPr>
          <w:rFonts w:ascii="Times New Roman" w:hAnsi="Times New Roman" w:cs="Times New Roman"/>
          <w:sz w:val="24"/>
          <w:szCs w:val="24"/>
        </w:rPr>
        <w:t>đó</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các</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hệ</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số</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dương</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âm</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biểu</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thị</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mối</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quan</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hệ</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cùng</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chiều</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ngược</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chiều</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giữa</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các</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biến</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và</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hiệu</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quả</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ngân</w:t>
      </w:r>
      <w:proofErr w:type="spellEnd"/>
      <w:r w:rsidR="00C53330">
        <w:rPr>
          <w:rFonts w:ascii="Times New Roman" w:hAnsi="Times New Roman" w:cs="Times New Roman"/>
          <w:sz w:val="24"/>
          <w:szCs w:val="24"/>
        </w:rPr>
        <w:t xml:space="preserve"> </w:t>
      </w:r>
      <w:proofErr w:type="spellStart"/>
      <w:r w:rsidR="00C53330">
        <w:rPr>
          <w:rFonts w:ascii="Times New Roman" w:hAnsi="Times New Roman" w:cs="Times New Roman"/>
          <w:sz w:val="24"/>
          <w:szCs w:val="24"/>
        </w:rPr>
        <w:t>hàng</w:t>
      </w:r>
      <w:proofErr w:type="spellEnd"/>
    </w:p>
    <w:p w14:paraId="6B9A8658" w14:textId="21F30700" w:rsidR="00162D81" w:rsidRPr="00593435" w:rsidRDefault="00530F24" w:rsidP="00906EA2">
      <w:pPr>
        <w:spacing w:before="120" w:after="0" w:line="312" w:lineRule="auto"/>
        <w:ind w:firstLine="720"/>
        <w:jc w:val="both"/>
        <w:rPr>
          <w:rFonts w:ascii="Times New Roman" w:hAnsi="Times New Roman" w:cs="Times New Roman"/>
          <w:sz w:val="24"/>
          <w:szCs w:val="24"/>
          <w:lang w:val="vi-VN"/>
        </w:rPr>
      </w:pPr>
      <w:r w:rsidRPr="00593435">
        <w:rPr>
          <w:rFonts w:ascii="Times New Roman" w:hAnsi="Times New Roman" w:cs="Times New Roman"/>
          <w:sz w:val="24"/>
          <w:szCs w:val="24"/>
          <w:lang w:val="vi-VN"/>
        </w:rPr>
        <w:t>Đối với các biến kiểm soát</w:t>
      </w:r>
      <w:r w:rsidR="00162D81" w:rsidRPr="00593435">
        <w:rPr>
          <w:rFonts w:ascii="Times New Roman" w:hAnsi="Times New Roman" w:cs="Times New Roman"/>
          <w:sz w:val="24"/>
          <w:szCs w:val="24"/>
          <w:lang w:val="vi-VN"/>
        </w:rPr>
        <w:t xml:space="preserve">, </w:t>
      </w:r>
      <w:r w:rsidRPr="00593435">
        <w:rPr>
          <w:rFonts w:ascii="Times New Roman" w:hAnsi="Times New Roman" w:cs="Times New Roman"/>
          <w:sz w:val="24"/>
          <w:szCs w:val="24"/>
          <w:lang w:val="vi-VN"/>
        </w:rPr>
        <w:t>kết quả cho</w:t>
      </w:r>
      <w:r w:rsidR="00162D81" w:rsidRPr="00593435">
        <w:rPr>
          <w:rFonts w:ascii="Times New Roman" w:hAnsi="Times New Roman" w:cs="Times New Roman"/>
          <w:sz w:val="24"/>
          <w:szCs w:val="24"/>
          <w:lang w:val="vi-VN"/>
        </w:rPr>
        <w:t xml:space="preserve"> thấy các ngân hàng lớn hơn có lợi nhuận và chi phí thấp hơn và các ngân hàng có vốn hóa cao có hiệu quả lợi nhuận thấp hơn nhưng hiệu quả chi phí</w:t>
      </w:r>
      <w:r w:rsidRPr="00593435">
        <w:rPr>
          <w:rFonts w:ascii="Times New Roman" w:hAnsi="Times New Roman" w:cs="Times New Roman"/>
          <w:sz w:val="24"/>
          <w:szCs w:val="24"/>
          <w:lang w:val="vi-VN"/>
        </w:rPr>
        <w:t xml:space="preserve"> cao hơn</w:t>
      </w:r>
      <w:r w:rsidR="00162D81" w:rsidRPr="00593435">
        <w:rPr>
          <w:rFonts w:ascii="Times New Roman" w:hAnsi="Times New Roman" w:cs="Times New Roman"/>
          <w:sz w:val="24"/>
          <w:szCs w:val="24"/>
          <w:lang w:val="vi-VN"/>
        </w:rPr>
        <w:t xml:space="preserve">. Fiordelisi </w:t>
      </w:r>
      <w:r w:rsidRPr="00593435">
        <w:rPr>
          <w:rFonts w:ascii="Times New Roman" w:hAnsi="Times New Roman" w:cs="Times New Roman"/>
          <w:sz w:val="24"/>
          <w:szCs w:val="24"/>
          <w:lang w:val="vi-VN"/>
        </w:rPr>
        <w:t>và cộng sự</w:t>
      </w:r>
      <w:r w:rsidR="00162D81" w:rsidRPr="00593435">
        <w:rPr>
          <w:rFonts w:ascii="Times New Roman" w:hAnsi="Times New Roman" w:cs="Times New Roman"/>
          <w:sz w:val="24"/>
          <w:szCs w:val="24"/>
          <w:lang w:val="vi-VN"/>
        </w:rPr>
        <w:t xml:space="preserve"> (2011) cho rằng tỷ lệ vốn cao hơn có thể làm giảm rủi ro đạo đức và do đó, các ngân hàng có vốn hóa tốt có nhiều khả năng cắt giảm chi phí hơn so với các ngân hàng có tỷ lệ vốn thấp</w:t>
      </w:r>
      <w:r w:rsidR="002A35C2" w:rsidRPr="00593435">
        <w:rPr>
          <w:rFonts w:ascii="Times New Roman" w:hAnsi="Times New Roman" w:cs="Times New Roman"/>
          <w:sz w:val="24"/>
          <w:szCs w:val="24"/>
          <w:lang w:val="vi-VN"/>
        </w:rPr>
        <w:t>.</w:t>
      </w:r>
      <w:r w:rsidR="00162D81" w:rsidRPr="00593435">
        <w:rPr>
          <w:rFonts w:ascii="Times New Roman" w:hAnsi="Times New Roman" w:cs="Times New Roman"/>
          <w:sz w:val="24"/>
          <w:szCs w:val="24"/>
          <w:lang w:val="vi-VN"/>
        </w:rPr>
        <w:t xml:space="preserve"> </w:t>
      </w:r>
      <w:r w:rsidR="002A35C2" w:rsidRPr="00593435">
        <w:rPr>
          <w:rFonts w:ascii="Times New Roman" w:hAnsi="Times New Roman" w:cs="Times New Roman"/>
          <w:sz w:val="24"/>
          <w:szCs w:val="24"/>
          <w:lang w:val="vi-VN"/>
        </w:rPr>
        <w:t xml:space="preserve">Mức độ tự do tài chính (FREE) </w:t>
      </w:r>
      <w:r w:rsidR="00162D81" w:rsidRPr="00593435">
        <w:rPr>
          <w:rFonts w:ascii="Times New Roman" w:hAnsi="Times New Roman" w:cs="Times New Roman"/>
          <w:sz w:val="24"/>
          <w:szCs w:val="24"/>
          <w:lang w:val="vi-VN"/>
        </w:rPr>
        <w:t xml:space="preserve">có quan hệ </w:t>
      </w:r>
      <w:r w:rsidR="002A35C2" w:rsidRPr="00593435">
        <w:rPr>
          <w:rFonts w:ascii="Times New Roman" w:hAnsi="Times New Roman" w:cs="Times New Roman"/>
          <w:sz w:val="24"/>
          <w:szCs w:val="24"/>
          <w:lang w:val="vi-VN"/>
        </w:rPr>
        <w:t>cùng chiều</w:t>
      </w:r>
      <w:r w:rsidR="00162D81" w:rsidRPr="00593435">
        <w:rPr>
          <w:rFonts w:ascii="Times New Roman" w:hAnsi="Times New Roman" w:cs="Times New Roman"/>
          <w:sz w:val="24"/>
          <w:szCs w:val="24"/>
          <w:lang w:val="vi-VN"/>
        </w:rPr>
        <w:t xml:space="preserve"> với sự kém hiệu quả về lợi nhuận của ngân hàng, hàm ý rằng các ngân hàng hoạt động kém hiệu quả hơn ở các quốc gia có độ mở tài chính cao hơn. </w:t>
      </w:r>
      <w:r w:rsidR="00CE2715" w:rsidRPr="00593435">
        <w:rPr>
          <w:rFonts w:ascii="Times New Roman" w:hAnsi="Times New Roman" w:cs="Times New Roman"/>
          <w:sz w:val="24"/>
          <w:szCs w:val="24"/>
          <w:lang w:val="vi-VN"/>
        </w:rPr>
        <w:t>Nguyên nhân là do</w:t>
      </w:r>
      <w:r w:rsidR="00162D81" w:rsidRPr="00593435">
        <w:rPr>
          <w:rFonts w:ascii="Times New Roman" w:hAnsi="Times New Roman" w:cs="Times New Roman"/>
          <w:sz w:val="24"/>
          <w:szCs w:val="24"/>
          <w:lang w:val="vi-VN"/>
        </w:rPr>
        <w:t xml:space="preserve"> ở các quốc gia này, </w:t>
      </w:r>
      <w:r w:rsidR="002C7B1B" w:rsidRPr="00593435">
        <w:rPr>
          <w:rFonts w:ascii="Times New Roman" w:hAnsi="Times New Roman" w:cs="Times New Roman"/>
          <w:sz w:val="24"/>
          <w:szCs w:val="24"/>
          <w:lang w:val="vi-VN"/>
        </w:rPr>
        <w:t xml:space="preserve">việc </w:t>
      </w:r>
      <w:r w:rsidR="00162D81" w:rsidRPr="00593435">
        <w:rPr>
          <w:rFonts w:ascii="Times New Roman" w:hAnsi="Times New Roman" w:cs="Times New Roman"/>
          <w:sz w:val="24"/>
          <w:szCs w:val="24"/>
          <w:lang w:val="vi-VN"/>
        </w:rPr>
        <w:t xml:space="preserve">tăng cường củng cố </w:t>
      </w:r>
      <w:r w:rsidR="00162D81" w:rsidRPr="00593435">
        <w:rPr>
          <w:rFonts w:ascii="Times New Roman" w:hAnsi="Times New Roman" w:cs="Times New Roman"/>
          <w:sz w:val="24"/>
          <w:szCs w:val="24"/>
          <w:lang w:val="vi-VN"/>
        </w:rPr>
        <w:lastRenderedPageBreak/>
        <w:t xml:space="preserve">hoạt động của các ngân hàng trong nước dưới sự cạnh tranh ngày càng lớn từ các ngân hàng nước ngoài có thể dẫn đến tác động tiêu cực đến lợi nhuận của ngân hàng (Luo và cộng sự, 2016). </w:t>
      </w:r>
    </w:p>
    <w:p w14:paraId="03A9796D" w14:textId="77777777" w:rsidR="0021615C" w:rsidRPr="00593435" w:rsidRDefault="00162D81" w:rsidP="008218C1">
      <w:pPr>
        <w:spacing w:before="120" w:after="0" w:line="312" w:lineRule="auto"/>
        <w:ind w:firstLine="720"/>
        <w:jc w:val="both"/>
        <w:rPr>
          <w:rFonts w:ascii="Times New Roman" w:hAnsi="Times New Roman" w:cs="Times New Roman"/>
          <w:sz w:val="24"/>
          <w:szCs w:val="24"/>
          <w:lang w:val="vi-VN"/>
        </w:rPr>
      </w:pPr>
      <w:r w:rsidRPr="00593435">
        <w:rPr>
          <w:rFonts w:ascii="Times New Roman" w:hAnsi="Times New Roman" w:cs="Times New Roman"/>
          <w:sz w:val="24"/>
          <w:szCs w:val="24"/>
          <w:lang w:val="vi-VN"/>
        </w:rPr>
        <w:t xml:space="preserve">Liên quan đến tác động của các </w:t>
      </w:r>
      <w:r w:rsidR="002C7B1B" w:rsidRPr="00593435">
        <w:rPr>
          <w:rFonts w:ascii="Times New Roman" w:hAnsi="Times New Roman" w:cs="Times New Roman"/>
          <w:sz w:val="24"/>
          <w:szCs w:val="24"/>
          <w:lang w:val="vi-VN"/>
        </w:rPr>
        <w:t>quy định quản lý và giám sát ngân hàng</w:t>
      </w:r>
      <w:r w:rsidRPr="00593435">
        <w:rPr>
          <w:rFonts w:ascii="Times New Roman" w:hAnsi="Times New Roman" w:cs="Times New Roman"/>
          <w:sz w:val="24"/>
          <w:szCs w:val="24"/>
          <w:lang w:val="vi-VN"/>
        </w:rPr>
        <w:t xml:space="preserve">, các ngân hàng ở các quốc gia có các hạn chế hoạt động nghiêm ngặt hơn, độc lập giám sát hơn và mức độ tập trung tài sản ngân hàng cao hơn sẽ có hiệu quả </w:t>
      </w:r>
      <w:r w:rsidR="002C7B1B" w:rsidRPr="00593435">
        <w:rPr>
          <w:rFonts w:ascii="Times New Roman" w:hAnsi="Times New Roman" w:cs="Times New Roman"/>
          <w:sz w:val="24"/>
          <w:szCs w:val="24"/>
          <w:lang w:val="vi-VN"/>
        </w:rPr>
        <w:t xml:space="preserve">lợi nhuận cao </w:t>
      </w:r>
      <w:r w:rsidRPr="00593435">
        <w:rPr>
          <w:rFonts w:ascii="Times New Roman" w:hAnsi="Times New Roman" w:cs="Times New Roman"/>
          <w:sz w:val="24"/>
          <w:szCs w:val="24"/>
          <w:lang w:val="vi-VN"/>
        </w:rPr>
        <w:t xml:space="preserve">hơn. Ngoài ra, các yêu cầu </w:t>
      </w:r>
      <w:r w:rsidR="002C7B1B" w:rsidRPr="00593435">
        <w:rPr>
          <w:rFonts w:ascii="Times New Roman" w:hAnsi="Times New Roman" w:cs="Times New Roman"/>
          <w:sz w:val="24"/>
          <w:szCs w:val="24"/>
          <w:lang w:val="vi-VN"/>
        </w:rPr>
        <w:t>tham gia hoạt động</w:t>
      </w:r>
      <w:r w:rsidRPr="00593435">
        <w:rPr>
          <w:rFonts w:ascii="Times New Roman" w:hAnsi="Times New Roman" w:cs="Times New Roman"/>
          <w:sz w:val="24"/>
          <w:szCs w:val="24"/>
          <w:lang w:val="vi-VN"/>
        </w:rPr>
        <w:t xml:space="preserve"> ngân hàng, quyền giám sát tư nhân, sở hữu nước ngoài và sở hữu chính phủ có khả năng làm giảm hiệu quả lợi nhuận của ngân hàng. Các kết quả tương tự với hiệu quả chi phí của ngân hàng, ngoại trừ tác động không đáng kể của các yêu cầu </w:t>
      </w:r>
      <w:r w:rsidR="002C7B1B" w:rsidRPr="00593435">
        <w:rPr>
          <w:rFonts w:ascii="Times New Roman" w:hAnsi="Times New Roman" w:cs="Times New Roman"/>
          <w:sz w:val="24"/>
          <w:szCs w:val="24"/>
          <w:lang w:val="vi-VN"/>
        </w:rPr>
        <w:t>tham gia hoạt động</w:t>
      </w:r>
      <w:r w:rsidRPr="00593435">
        <w:rPr>
          <w:rFonts w:ascii="Times New Roman" w:hAnsi="Times New Roman" w:cs="Times New Roman"/>
          <w:sz w:val="24"/>
          <w:szCs w:val="24"/>
          <w:lang w:val="vi-VN"/>
        </w:rPr>
        <w:t xml:space="preserve"> ngân hàng và sự độc lập giám sát.</w:t>
      </w:r>
    </w:p>
    <w:p w14:paraId="21DAB1FE" w14:textId="00DF3E38" w:rsidR="00162D81" w:rsidRPr="00593435" w:rsidRDefault="002A35C2" w:rsidP="008218C1">
      <w:pPr>
        <w:spacing w:before="120" w:after="0" w:line="312" w:lineRule="auto"/>
        <w:ind w:firstLine="630"/>
        <w:jc w:val="both"/>
        <w:rPr>
          <w:rFonts w:ascii="Times New Roman" w:hAnsi="Times New Roman" w:cs="Times New Roman"/>
          <w:sz w:val="24"/>
          <w:szCs w:val="24"/>
          <w:lang w:val="vi-VN"/>
        </w:rPr>
      </w:pPr>
      <w:r w:rsidRPr="00593435">
        <w:rPr>
          <w:rFonts w:ascii="Times New Roman" w:hAnsi="Times New Roman" w:cs="Times New Roman"/>
          <w:sz w:val="24"/>
          <w:szCs w:val="24"/>
          <w:lang w:val="vi-VN"/>
        </w:rPr>
        <w:t>Bảng 3</w:t>
      </w:r>
      <w:r w:rsidR="0021615C" w:rsidRPr="00593435">
        <w:rPr>
          <w:rFonts w:ascii="Times New Roman" w:hAnsi="Times New Roman" w:cs="Times New Roman"/>
          <w:sz w:val="24"/>
          <w:szCs w:val="24"/>
          <w:lang w:val="vi-VN"/>
        </w:rPr>
        <w:t xml:space="preserve"> cũng</w:t>
      </w:r>
      <w:r w:rsidR="00162D81" w:rsidRPr="00593435">
        <w:rPr>
          <w:rFonts w:ascii="Times New Roman" w:hAnsi="Times New Roman" w:cs="Times New Roman"/>
          <w:sz w:val="24"/>
          <w:szCs w:val="24"/>
          <w:lang w:val="vi-VN"/>
        </w:rPr>
        <w:t xml:space="preserve"> </w:t>
      </w:r>
      <w:r w:rsidR="002C7B1B" w:rsidRPr="00593435">
        <w:rPr>
          <w:rFonts w:ascii="Times New Roman" w:hAnsi="Times New Roman" w:cs="Times New Roman"/>
          <w:sz w:val="24"/>
          <w:szCs w:val="24"/>
          <w:lang w:val="vi-VN"/>
        </w:rPr>
        <w:t>cho thấy</w:t>
      </w:r>
      <w:r w:rsidR="00162D81" w:rsidRPr="00593435">
        <w:rPr>
          <w:rFonts w:ascii="Times New Roman" w:hAnsi="Times New Roman" w:cs="Times New Roman"/>
          <w:sz w:val="24"/>
          <w:szCs w:val="24"/>
          <w:lang w:val="vi-VN"/>
        </w:rPr>
        <w:t xml:space="preserve"> tác động điều tiết của </w:t>
      </w:r>
      <w:r w:rsidR="0021615C" w:rsidRPr="00593435">
        <w:rPr>
          <w:rFonts w:ascii="Times New Roman" w:hAnsi="Times New Roman" w:cs="Times New Roman"/>
          <w:sz w:val="24"/>
          <w:szCs w:val="24"/>
          <w:lang w:val="vi-VN"/>
        </w:rPr>
        <w:t>thái độ</w:t>
      </w:r>
      <w:r w:rsidR="00162D81" w:rsidRPr="00593435">
        <w:rPr>
          <w:rFonts w:ascii="Times New Roman" w:hAnsi="Times New Roman" w:cs="Times New Roman"/>
          <w:sz w:val="24"/>
          <w:szCs w:val="24"/>
          <w:lang w:val="vi-VN"/>
        </w:rPr>
        <w:t xml:space="preserve"> xã hội đối với phụ nữ đi làm </w:t>
      </w:r>
      <w:r w:rsidR="0021615C" w:rsidRPr="00593435">
        <w:rPr>
          <w:rFonts w:ascii="Times New Roman" w:hAnsi="Times New Roman" w:cs="Times New Roman"/>
          <w:sz w:val="24"/>
          <w:szCs w:val="24"/>
          <w:lang w:val="vi-VN"/>
        </w:rPr>
        <w:t>đối với</w:t>
      </w:r>
      <w:r w:rsidR="00162D81" w:rsidRPr="00593435">
        <w:rPr>
          <w:rFonts w:ascii="Times New Roman" w:hAnsi="Times New Roman" w:cs="Times New Roman"/>
          <w:sz w:val="24"/>
          <w:szCs w:val="24"/>
          <w:lang w:val="vi-VN"/>
        </w:rPr>
        <w:t xml:space="preserve"> mối quan hệ giữa </w:t>
      </w:r>
      <w:r w:rsidR="0021615C" w:rsidRPr="00593435">
        <w:rPr>
          <w:rFonts w:ascii="Times New Roman" w:hAnsi="Times New Roman" w:cs="Times New Roman"/>
          <w:sz w:val="24"/>
          <w:szCs w:val="24"/>
          <w:lang w:val="vi-VN"/>
        </w:rPr>
        <w:t>bình đẳng giới</w:t>
      </w:r>
      <w:r w:rsidR="00162D81" w:rsidRPr="00593435">
        <w:rPr>
          <w:rFonts w:ascii="Times New Roman" w:hAnsi="Times New Roman" w:cs="Times New Roman"/>
          <w:sz w:val="24"/>
          <w:szCs w:val="24"/>
          <w:lang w:val="vi-VN"/>
        </w:rPr>
        <w:t xml:space="preserve"> trong </w:t>
      </w:r>
      <w:r w:rsidR="0021615C" w:rsidRPr="00593435">
        <w:rPr>
          <w:rFonts w:ascii="Times New Roman" w:hAnsi="Times New Roman" w:cs="Times New Roman"/>
          <w:sz w:val="24"/>
          <w:szCs w:val="24"/>
          <w:lang w:val="vi-VN"/>
        </w:rPr>
        <w:t>HĐQT</w:t>
      </w:r>
      <w:r w:rsidR="00162D81" w:rsidRPr="00593435">
        <w:rPr>
          <w:rFonts w:ascii="Times New Roman" w:hAnsi="Times New Roman" w:cs="Times New Roman"/>
          <w:sz w:val="24"/>
          <w:szCs w:val="24"/>
          <w:lang w:val="vi-VN"/>
        </w:rPr>
        <w:t xml:space="preserve"> và hiệu quả lợi nhuận ngân hàng (Mô hình </w:t>
      </w:r>
      <w:r w:rsidR="0021615C" w:rsidRPr="00593435">
        <w:rPr>
          <w:rFonts w:ascii="Times New Roman" w:hAnsi="Times New Roman" w:cs="Times New Roman"/>
          <w:sz w:val="24"/>
          <w:szCs w:val="24"/>
          <w:lang w:val="vi-VN"/>
        </w:rPr>
        <w:t>2</w:t>
      </w:r>
      <w:r w:rsidR="00162D81" w:rsidRPr="00593435">
        <w:rPr>
          <w:rFonts w:ascii="Times New Roman" w:hAnsi="Times New Roman" w:cs="Times New Roman"/>
          <w:sz w:val="24"/>
          <w:szCs w:val="24"/>
          <w:lang w:val="vi-VN"/>
        </w:rPr>
        <w:t xml:space="preserve">) và hiệu quả chi phí (Mô hình </w:t>
      </w:r>
      <w:r w:rsidR="0021615C" w:rsidRPr="00593435">
        <w:rPr>
          <w:rFonts w:ascii="Times New Roman" w:hAnsi="Times New Roman" w:cs="Times New Roman"/>
          <w:sz w:val="24"/>
          <w:szCs w:val="24"/>
          <w:lang w:val="vi-VN"/>
        </w:rPr>
        <w:t>4</w:t>
      </w:r>
      <w:r w:rsidR="00162D81" w:rsidRPr="00593435">
        <w:rPr>
          <w:rFonts w:ascii="Times New Roman" w:hAnsi="Times New Roman" w:cs="Times New Roman"/>
          <w:sz w:val="24"/>
          <w:szCs w:val="24"/>
          <w:lang w:val="vi-VN"/>
        </w:rPr>
        <w:t>). Các hệ số của chỉ số Blau vẫn có ý nghĩa</w:t>
      </w:r>
      <w:r w:rsidR="005A66A1" w:rsidRPr="005A66A1">
        <w:rPr>
          <w:rFonts w:ascii="Times New Roman" w:hAnsi="Times New Roman" w:cs="Times New Roman"/>
          <w:sz w:val="24"/>
          <w:szCs w:val="24"/>
          <w:lang w:val="vi-VN"/>
        </w:rPr>
        <w:t xml:space="preserve"> thống kê</w:t>
      </w:r>
      <w:r w:rsidR="00162D81" w:rsidRPr="00593435">
        <w:rPr>
          <w:rFonts w:ascii="Times New Roman" w:hAnsi="Times New Roman" w:cs="Times New Roman"/>
          <w:sz w:val="24"/>
          <w:szCs w:val="24"/>
          <w:lang w:val="vi-VN"/>
        </w:rPr>
        <w:t xml:space="preserve"> và </w:t>
      </w:r>
      <w:r w:rsidR="0021615C" w:rsidRPr="00593435">
        <w:rPr>
          <w:rFonts w:ascii="Times New Roman" w:hAnsi="Times New Roman" w:cs="Times New Roman"/>
          <w:sz w:val="24"/>
          <w:szCs w:val="24"/>
          <w:lang w:val="vi-VN"/>
        </w:rPr>
        <w:t xml:space="preserve">mang giá trị </w:t>
      </w:r>
      <w:r w:rsidR="00162D81" w:rsidRPr="00593435">
        <w:rPr>
          <w:rFonts w:ascii="Times New Roman" w:hAnsi="Times New Roman" w:cs="Times New Roman"/>
          <w:sz w:val="24"/>
          <w:szCs w:val="24"/>
          <w:lang w:val="vi-VN"/>
        </w:rPr>
        <w:t xml:space="preserve">dương trong khi các hệ số của </w:t>
      </w:r>
      <w:r w:rsidR="0021615C" w:rsidRPr="00593435">
        <w:rPr>
          <w:rFonts w:ascii="Times New Roman" w:hAnsi="Times New Roman" w:cs="Times New Roman"/>
          <w:sz w:val="24"/>
          <w:szCs w:val="24"/>
          <w:lang w:val="vi-VN"/>
        </w:rPr>
        <w:t>biến</w:t>
      </w:r>
      <w:r w:rsidR="00162D81" w:rsidRPr="00593435">
        <w:rPr>
          <w:rFonts w:ascii="Times New Roman" w:hAnsi="Times New Roman" w:cs="Times New Roman"/>
          <w:sz w:val="24"/>
          <w:szCs w:val="24"/>
          <w:lang w:val="vi-VN"/>
        </w:rPr>
        <w:t xml:space="preserve"> tương tác (BLAU*EPOlow) </w:t>
      </w:r>
      <w:r w:rsidR="0021615C" w:rsidRPr="00593435">
        <w:rPr>
          <w:rFonts w:ascii="Times New Roman" w:hAnsi="Times New Roman" w:cs="Times New Roman"/>
          <w:sz w:val="24"/>
          <w:szCs w:val="24"/>
          <w:lang w:val="vi-VN"/>
        </w:rPr>
        <w:t xml:space="preserve">mang giá trị </w:t>
      </w:r>
      <w:r w:rsidR="00162D81" w:rsidRPr="00593435">
        <w:rPr>
          <w:rFonts w:ascii="Times New Roman" w:hAnsi="Times New Roman" w:cs="Times New Roman"/>
          <w:sz w:val="24"/>
          <w:szCs w:val="24"/>
          <w:lang w:val="vi-VN"/>
        </w:rPr>
        <w:t xml:space="preserve">âm </w:t>
      </w:r>
      <w:r w:rsidR="0021615C" w:rsidRPr="00593435">
        <w:rPr>
          <w:rFonts w:ascii="Times New Roman" w:hAnsi="Times New Roman" w:cs="Times New Roman"/>
          <w:sz w:val="24"/>
          <w:szCs w:val="24"/>
          <w:lang w:val="vi-VN"/>
        </w:rPr>
        <w:t>và có ý nghĩa thống kê</w:t>
      </w:r>
      <w:r w:rsidR="00162D81" w:rsidRPr="00593435">
        <w:rPr>
          <w:rFonts w:ascii="Times New Roman" w:hAnsi="Times New Roman" w:cs="Times New Roman"/>
          <w:sz w:val="24"/>
          <w:szCs w:val="24"/>
          <w:lang w:val="vi-VN"/>
        </w:rPr>
        <w:t xml:space="preserve"> trong cả hai mô hình. Những kết quả này cho thấy rằng mặc dù </w:t>
      </w:r>
      <w:r w:rsidR="0021615C" w:rsidRPr="00593435">
        <w:rPr>
          <w:rFonts w:ascii="Times New Roman" w:hAnsi="Times New Roman" w:cs="Times New Roman"/>
          <w:sz w:val="24"/>
          <w:szCs w:val="24"/>
          <w:lang w:val="vi-VN"/>
        </w:rPr>
        <w:t>bình đẳng giới</w:t>
      </w:r>
      <w:r w:rsidR="00162D81" w:rsidRPr="00593435">
        <w:rPr>
          <w:rFonts w:ascii="Times New Roman" w:hAnsi="Times New Roman" w:cs="Times New Roman"/>
          <w:sz w:val="24"/>
          <w:szCs w:val="24"/>
          <w:lang w:val="vi-VN"/>
        </w:rPr>
        <w:t xml:space="preserve"> trong </w:t>
      </w:r>
      <w:r w:rsidR="0021615C" w:rsidRPr="00593435">
        <w:rPr>
          <w:rFonts w:ascii="Times New Roman" w:hAnsi="Times New Roman" w:cs="Times New Roman"/>
          <w:sz w:val="24"/>
          <w:szCs w:val="24"/>
          <w:lang w:val="vi-VN"/>
        </w:rPr>
        <w:t>HĐQT</w:t>
      </w:r>
      <w:r w:rsidR="00162D81" w:rsidRPr="00593435">
        <w:rPr>
          <w:rFonts w:ascii="Times New Roman" w:hAnsi="Times New Roman" w:cs="Times New Roman"/>
          <w:sz w:val="24"/>
          <w:szCs w:val="24"/>
          <w:lang w:val="vi-VN"/>
        </w:rPr>
        <w:t xml:space="preserve"> giúp cải thiện hiệu quả của ngân hàng, nhưng tác động này </w:t>
      </w:r>
      <w:r w:rsidR="0021615C" w:rsidRPr="00593435">
        <w:rPr>
          <w:rFonts w:ascii="Times New Roman" w:hAnsi="Times New Roman" w:cs="Times New Roman"/>
          <w:sz w:val="24"/>
          <w:szCs w:val="24"/>
          <w:lang w:val="vi-VN"/>
        </w:rPr>
        <w:t>bị giảm đi</w:t>
      </w:r>
      <w:r w:rsidR="00162D81" w:rsidRPr="00593435">
        <w:rPr>
          <w:rFonts w:ascii="Times New Roman" w:hAnsi="Times New Roman" w:cs="Times New Roman"/>
          <w:sz w:val="24"/>
          <w:szCs w:val="24"/>
          <w:lang w:val="vi-VN"/>
        </w:rPr>
        <w:t xml:space="preserve"> ở các quốc gia có thứ hạng thấp hơn về bình đẳng giới tại nơi làm việ</w:t>
      </w:r>
      <w:r w:rsidR="0021615C" w:rsidRPr="00593435">
        <w:rPr>
          <w:rFonts w:ascii="Times New Roman" w:hAnsi="Times New Roman" w:cs="Times New Roman"/>
          <w:sz w:val="24"/>
          <w:szCs w:val="24"/>
          <w:lang w:val="vi-VN"/>
        </w:rPr>
        <w:t>c</w:t>
      </w:r>
      <w:r w:rsidR="00162D81" w:rsidRPr="00593435">
        <w:rPr>
          <w:rFonts w:ascii="Times New Roman" w:hAnsi="Times New Roman" w:cs="Times New Roman"/>
          <w:sz w:val="24"/>
          <w:szCs w:val="24"/>
          <w:lang w:val="vi-VN"/>
        </w:rPr>
        <w:t xml:space="preserve">. </w:t>
      </w:r>
      <w:r w:rsidR="0021615C" w:rsidRPr="00593435">
        <w:rPr>
          <w:rFonts w:ascii="Times New Roman" w:hAnsi="Times New Roman" w:cs="Times New Roman"/>
          <w:sz w:val="24"/>
          <w:szCs w:val="24"/>
          <w:lang w:val="vi-VN"/>
        </w:rPr>
        <w:t>B</w:t>
      </w:r>
      <w:r w:rsidR="00162D81" w:rsidRPr="00593435">
        <w:rPr>
          <w:rFonts w:ascii="Times New Roman" w:hAnsi="Times New Roman" w:cs="Times New Roman"/>
          <w:sz w:val="24"/>
          <w:szCs w:val="24"/>
          <w:lang w:val="vi-VN"/>
        </w:rPr>
        <w:t xml:space="preserve">ất bình đẳng giới có thể làm giảm sự hiện diện của phụ nữ trong </w:t>
      </w:r>
      <w:r w:rsidR="0021615C" w:rsidRPr="00593435">
        <w:rPr>
          <w:rFonts w:ascii="Times New Roman" w:hAnsi="Times New Roman" w:cs="Times New Roman"/>
          <w:sz w:val="24"/>
          <w:szCs w:val="24"/>
          <w:lang w:val="vi-VN"/>
        </w:rPr>
        <w:t xml:space="preserve">HĐQT </w:t>
      </w:r>
      <w:r w:rsidR="00162D81" w:rsidRPr="00593435">
        <w:rPr>
          <w:rFonts w:ascii="Times New Roman" w:hAnsi="Times New Roman" w:cs="Times New Roman"/>
          <w:sz w:val="24"/>
          <w:szCs w:val="24"/>
          <w:lang w:val="vi-VN"/>
        </w:rPr>
        <w:t xml:space="preserve">công ty và do đó, các </w:t>
      </w:r>
      <w:r w:rsidR="0021615C" w:rsidRPr="00593435">
        <w:rPr>
          <w:rFonts w:ascii="Times New Roman" w:hAnsi="Times New Roman" w:cs="Times New Roman"/>
          <w:sz w:val="24"/>
          <w:szCs w:val="24"/>
          <w:lang w:val="vi-VN"/>
        </w:rPr>
        <w:t>lãnh đạo</w:t>
      </w:r>
      <w:r w:rsidR="00162D81" w:rsidRPr="00593435">
        <w:rPr>
          <w:rFonts w:ascii="Times New Roman" w:hAnsi="Times New Roman" w:cs="Times New Roman"/>
          <w:sz w:val="24"/>
          <w:szCs w:val="24"/>
          <w:lang w:val="vi-VN"/>
        </w:rPr>
        <w:t xml:space="preserve"> nữ có thể gặp phải các vấn đề tượng trưng </w:t>
      </w:r>
      <w:r w:rsidR="005A66A1" w:rsidRPr="005A66A1">
        <w:rPr>
          <w:rFonts w:ascii="Times New Roman" w:hAnsi="Times New Roman" w:cs="Times New Roman"/>
          <w:sz w:val="24"/>
          <w:szCs w:val="24"/>
          <w:lang w:val="vi-VN"/>
        </w:rPr>
        <w:t xml:space="preserve">(tokenism) </w:t>
      </w:r>
      <w:r w:rsidR="00162D81" w:rsidRPr="00593435">
        <w:rPr>
          <w:rFonts w:ascii="Times New Roman" w:hAnsi="Times New Roman" w:cs="Times New Roman"/>
          <w:sz w:val="24"/>
          <w:szCs w:val="24"/>
          <w:lang w:val="vi-VN"/>
        </w:rPr>
        <w:t xml:space="preserve">và </w:t>
      </w:r>
      <w:r w:rsidR="005A66A1" w:rsidRPr="005A66A1">
        <w:rPr>
          <w:rFonts w:ascii="Times New Roman" w:hAnsi="Times New Roman" w:cs="Times New Roman"/>
          <w:sz w:val="24"/>
          <w:szCs w:val="24"/>
          <w:lang w:val="vi-VN"/>
        </w:rPr>
        <w:t>khó có thể ảnh hưởng</w:t>
      </w:r>
      <w:r w:rsidR="00162D81" w:rsidRPr="00593435">
        <w:rPr>
          <w:rFonts w:ascii="Times New Roman" w:hAnsi="Times New Roman" w:cs="Times New Roman"/>
          <w:sz w:val="24"/>
          <w:szCs w:val="24"/>
          <w:lang w:val="vi-VN"/>
        </w:rPr>
        <w:t xml:space="preserve"> đến kết quả của tổ chức. </w:t>
      </w:r>
    </w:p>
    <w:p w14:paraId="60AAF236" w14:textId="690A8411" w:rsidR="00826C26" w:rsidRPr="005A66A1" w:rsidRDefault="00DE29AF" w:rsidP="008218C1">
      <w:pPr>
        <w:pStyle w:val="ListParagraph"/>
        <w:numPr>
          <w:ilvl w:val="0"/>
          <w:numId w:val="1"/>
        </w:numPr>
        <w:tabs>
          <w:tab w:val="left" w:pos="450"/>
        </w:tabs>
        <w:spacing w:before="120" w:after="0" w:line="312" w:lineRule="auto"/>
        <w:ind w:left="630" w:hanging="630"/>
        <w:contextualSpacing w:val="0"/>
        <w:jc w:val="both"/>
        <w:rPr>
          <w:rFonts w:ascii="Times New Roman" w:hAnsi="Times New Roman" w:cs="Times New Roman"/>
          <w:b/>
          <w:bCs/>
          <w:sz w:val="24"/>
          <w:szCs w:val="24"/>
          <w:lang w:val="vi-VN"/>
        </w:rPr>
      </w:pPr>
      <w:r w:rsidRPr="00DE29AF">
        <w:rPr>
          <w:rFonts w:ascii="Times New Roman" w:hAnsi="Times New Roman" w:cs="Times New Roman"/>
          <w:b/>
          <w:bCs/>
          <w:sz w:val="24"/>
          <w:szCs w:val="24"/>
          <w:lang w:val="vi-VN"/>
        </w:rPr>
        <w:t>KẾT LUẬN VÀ KHUYẾN NGHỊ</w:t>
      </w:r>
    </w:p>
    <w:p w14:paraId="0AC5A253" w14:textId="77777777" w:rsidR="005A66A1" w:rsidRDefault="00162D81" w:rsidP="008218C1">
      <w:pPr>
        <w:spacing w:before="120" w:after="0" w:line="312" w:lineRule="auto"/>
        <w:ind w:firstLine="630"/>
        <w:jc w:val="both"/>
        <w:rPr>
          <w:rFonts w:ascii="Times New Roman" w:hAnsi="Times New Roman" w:cs="Times New Roman"/>
          <w:sz w:val="24"/>
          <w:szCs w:val="24"/>
          <w:lang w:val="vi-VN"/>
        </w:rPr>
      </w:pPr>
      <w:r w:rsidRPr="00593435">
        <w:rPr>
          <w:rFonts w:ascii="Times New Roman" w:hAnsi="Times New Roman" w:cs="Times New Roman"/>
          <w:sz w:val="24"/>
          <w:szCs w:val="24"/>
          <w:lang w:val="vi-VN"/>
        </w:rPr>
        <w:t xml:space="preserve">Sử dụng một mẫu lớn gồm 485 ngân hàng thương mại ở 39 quốc gia trong giai đoạn 2004-2018, </w:t>
      </w:r>
      <w:r w:rsidR="0021615C" w:rsidRPr="00593435">
        <w:rPr>
          <w:rFonts w:ascii="Times New Roman" w:hAnsi="Times New Roman" w:cs="Times New Roman"/>
          <w:sz w:val="24"/>
          <w:szCs w:val="24"/>
          <w:lang w:val="vi-VN"/>
        </w:rPr>
        <w:t xml:space="preserve">nghiên cứu chỉ ra </w:t>
      </w:r>
      <w:r w:rsidRPr="00593435">
        <w:rPr>
          <w:rFonts w:ascii="Times New Roman" w:hAnsi="Times New Roman" w:cs="Times New Roman"/>
          <w:sz w:val="24"/>
          <w:szCs w:val="24"/>
          <w:lang w:val="vi-VN"/>
        </w:rPr>
        <w:t xml:space="preserve">rằng </w:t>
      </w:r>
      <w:r w:rsidR="0021615C" w:rsidRPr="00593435">
        <w:rPr>
          <w:rFonts w:ascii="Times New Roman" w:hAnsi="Times New Roman" w:cs="Times New Roman"/>
          <w:sz w:val="24"/>
          <w:szCs w:val="24"/>
          <w:lang w:val="vi-VN"/>
        </w:rPr>
        <w:t xml:space="preserve">việc tăng tỷ lệ nữ giới trong HĐQT </w:t>
      </w:r>
      <w:r w:rsidRPr="00593435">
        <w:rPr>
          <w:rFonts w:ascii="Times New Roman" w:hAnsi="Times New Roman" w:cs="Times New Roman"/>
          <w:sz w:val="24"/>
          <w:szCs w:val="24"/>
          <w:lang w:val="vi-VN"/>
        </w:rPr>
        <w:t>có thể</w:t>
      </w:r>
      <w:r w:rsidR="0021615C" w:rsidRPr="00593435">
        <w:rPr>
          <w:rFonts w:ascii="Times New Roman" w:hAnsi="Times New Roman" w:cs="Times New Roman"/>
          <w:sz w:val="24"/>
          <w:szCs w:val="24"/>
          <w:lang w:val="vi-VN"/>
        </w:rPr>
        <w:t xml:space="preserve"> giúp</w:t>
      </w:r>
      <w:r w:rsidRPr="00593435">
        <w:rPr>
          <w:rFonts w:ascii="Times New Roman" w:hAnsi="Times New Roman" w:cs="Times New Roman"/>
          <w:sz w:val="24"/>
          <w:szCs w:val="24"/>
          <w:lang w:val="vi-VN"/>
        </w:rPr>
        <w:t xml:space="preserve"> cải thiện cả</w:t>
      </w:r>
      <w:r w:rsidR="0021615C" w:rsidRPr="00593435">
        <w:rPr>
          <w:rFonts w:ascii="Times New Roman" w:hAnsi="Times New Roman" w:cs="Times New Roman"/>
          <w:sz w:val="24"/>
          <w:szCs w:val="24"/>
          <w:lang w:val="vi-VN"/>
        </w:rPr>
        <w:t xml:space="preserve"> hiệu quả</w:t>
      </w:r>
      <w:r w:rsidRPr="00593435">
        <w:rPr>
          <w:rFonts w:ascii="Times New Roman" w:hAnsi="Times New Roman" w:cs="Times New Roman"/>
          <w:sz w:val="24"/>
          <w:szCs w:val="24"/>
          <w:lang w:val="vi-VN"/>
        </w:rPr>
        <w:t xml:space="preserve"> lợi nhuận và chi phí của ngân hàng. </w:t>
      </w:r>
      <w:r w:rsidR="0021615C" w:rsidRPr="00593435">
        <w:rPr>
          <w:rFonts w:ascii="Times New Roman" w:hAnsi="Times New Roman" w:cs="Times New Roman"/>
          <w:sz w:val="24"/>
          <w:szCs w:val="24"/>
          <w:lang w:val="vi-VN"/>
        </w:rPr>
        <w:t>Do đó,</w:t>
      </w:r>
      <w:r w:rsidRPr="00593435">
        <w:rPr>
          <w:rFonts w:ascii="Times New Roman" w:hAnsi="Times New Roman" w:cs="Times New Roman"/>
          <w:sz w:val="24"/>
          <w:szCs w:val="24"/>
          <w:lang w:val="vi-VN"/>
        </w:rPr>
        <w:t xml:space="preserve"> </w:t>
      </w:r>
      <w:r w:rsidR="0021615C" w:rsidRPr="00593435">
        <w:rPr>
          <w:rFonts w:ascii="Times New Roman" w:hAnsi="Times New Roman" w:cs="Times New Roman"/>
          <w:sz w:val="24"/>
          <w:szCs w:val="24"/>
          <w:lang w:val="vi-VN"/>
        </w:rPr>
        <w:t>nghiên cứu</w:t>
      </w:r>
      <w:r w:rsidRPr="00593435">
        <w:rPr>
          <w:rFonts w:ascii="Times New Roman" w:hAnsi="Times New Roman" w:cs="Times New Roman"/>
          <w:sz w:val="24"/>
          <w:szCs w:val="24"/>
          <w:lang w:val="vi-VN"/>
        </w:rPr>
        <w:t xml:space="preserve"> này ủng hộ mạnh mẽ </w:t>
      </w:r>
      <w:r w:rsidR="0021615C" w:rsidRPr="00593435">
        <w:rPr>
          <w:rFonts w:ascii="Times New Roman" w:hAnsi="Times New Roman" w:cs="Times New Roman"/>
          <w:sz w:val="24"/>
          <w:szCs w:val="24"/>
          <w:lang w:val="vi-VN"/>
        </w:rPr>
        <w:t>việc cần</w:t>
      </w:r>
      <w:r w:rsidRPr="00593435">
        <w:rPr>
          <w:rFonts w:ascii="Times New Roman" w:hAnsi="Times New Roman" w:cs="Times New Roman"/>
          <w:sz w:val="24"/>
          <w:szCs w:val="24"/>
          <w:lang w:val="vi-VN"/>
        </w:rPr>
        <w:t xml:space="preserve"> tăng cường </w:t>
      </w:r>
      <w:r w:rsidR="0021615C" w:rsidRPr="00593435">
        <w:rPr>
          <w:rFonts w:ascii="Times New Roman" w:hAnsi="Times New Roman" w:cs="Times New Roman"/>
          <w:sz w:val="24"/>
          <w:szCs w:val="24"/>
          <w:lang w:val="vi-VN"/>
        </w:rPr>
        <w:t>bình đẳng giới</w:t>
      </w:r>
      <w:r w:rsidRPr="00593435">
        <w:rPr>
          <w:rFonts w:ascii="Times New Roman" w:hAnsi="Times New Roman" w:cs="Times New Roman"/>
          <w:sz w:val="24"/>
          <w:szCs w:val="24"/>
          <w:lang w:val="vi-VN"/>
        </w:rPr>
        <w:t xml:space="preserve"> trong </w:t>
      </w:r>
      <w:r w:rsidR="0021615C" w:rsidRPr="00593435">
        <w:rPr>
          <w:rFonts w:ascii="Times New Roman" w:hAnsi="Times New Roman" w:cs="Times New Roman"/>
          <w:sz w:val="24"/>
          <w:szCs w:val="24"/>
          <w:lang w:val="vi-VN"/>
        </w:rPr>
        <w:t>HĐQT</w:t>
      </w:r>
      <w:r w:rsidRPr="00593435">
        <w:rPr>
          <w:rFonts w:ascii="Times New Roman" w:hAnsi="Times New Roman" w:cs="Times New Roman"/>
          <w:sz w:val="24"/>
          <w:szCs w:val="24"/>
          <w:lang w:val="vi-VN"/>
        </w:rPr>
        <w:t xml:space="preserve"> ngân hàng. Tuy nhiên, tác động tích cực của nữ giám đốc đối với hiệu quả hoạt động của ngân hàng </w:t>
      </w:r>
      <w:r w:rsidR="0021615C" w:rsidRPr="00593435">
        <w:rPr>
          <w:rFonts w:ascii="Times New Roman" w:hAnsi="Times New Roman" w:cs="Times New Roman"/>
          <w:sz w:val="24"/>
          <w:szCs w:val="24"/>
          <w:lang w:val="vi-VN"/>
        </w:rPr>
        <w:t>bị</w:t>
      </w:r>
      <w:r w:rsidRPr="00593435">
        <w:rPr>
          <w:rFonts w:ascii="Times New Roman" w:hAnsi="Times New Roman" w:cs="Times New Roman"/>
          <w:sz w:val="24"/>
          <w:szCs w:val="24"/>
          <w:lang w:val="vi-VN"/>
        </w:rPr>
        <w:t xml:space="preserve"> </w:t>
      </w:r>
      <w:r w:rsidR="0021615C" w:rsidRPr="00593435">
        <w:rPr>
          <w:rFonts w:ascii="Times New Roman" w:hAnsi="Times New Roman" w:cs="Times New Roman"/>
          <w:sz w:val="24"/>
          <w:szCs w:val="24"/>
          <w:lang w:val="vi-VN"/>
        </w:rPr>
        <w:t>suy yếu</w:t>
      </w:r>
      <w:r w:rsidRPr="00593435">
        <w:rPr>
          <w:rFonts w:ascii="Times New Roman" w:hAnsi="Times New Roman" w:cs="Times New Roman"/>
          <w:sz w:val="24"/>
          <w:szCs w:val="24"/>
          <w:lang w:val="vi-VN"/>
        </w:rPr>
        <w:t xml:space="preserve"> ở các quốc gia </w:t>
      </w:r>
      <w:r w:rsidR="00897F13" w:rsidRPr="00593435">
        <w:rPr>
          <w:rFonts w:ascii="Times New Roman" w:hAnsi="Times New Roman" w:cs="Times New Roman"/>
          <w:sz w:val="24"/>
          <w:szCs w:val="24"/>
          <w:lang w:val="vi-VN"/>
        </w:rPr>
        <w:t>mà phụ nữ vẫn phải đối mặt với</w:t>
      </w:r>
      <w:r w:rsidR="0021615C" w:rsidRPr="00593435">
        <w:rPr>
          <w:rFonts w:ascii="Times New Roman" w:hAnsi="Times New Roman" w:cs="Times New Roman"/>
          <w:sz w:val="24"/>
          <w:szCs w:val="24"/>
          <w:lang w:val="vi-VN"/>
        </w:rPr>
        <w:t xml:space="preserve"> tình tr</w:t>
      </w:r>
      <w:r w:rsidR="005A66A1" w:rsidRPr="005A66A1">
        <w:rPr>
          <w:rFonts w:ascii="Times New Roman" w:hAnsi="Times New Roman" w:cs="Times New Roman"/>
          <w:sz w:val="24"/>
          <w:szCs w:val="24"/>
          <w:lang w:val="vi-VN"/>
        </w:rPr>
        <w:t>ạng</w:t>
      </w:r>
      <w:r w:rsidR="0021615C" w:rsidRPr="00593435">
        <w:rPr>
          <w:rFonts w:ascii="Times New Roman" w:hAnsi="Times New Roman" w:cs="Times New Roman"/>
          <w:sz w:val="24"/>
          <w:szCs w:val="24"/>
          <w:lang w:val="vi-VN"/>
        </w:rPr>
        <w:t xml:space="preserve"> bất bình đẳng </w:t>
      </w:r>
      <w:r w:rsidR="00897F13" w:rsidRPr="00593435">
        <w:rPr>
          <w:rFonts w:ascii="Times New Roman" w:hAnsi="Times New Roman" w:cs="Times New Roman"/>
          <w:sz w:val="24"/>
          <w:szCs w:val="24"/>
          <w:lang w:val="vi-VN"/>
        </w:rPr>
        <w:t>tại nơi làm việc</w:t>
      </w:r>
      <w:r w:rsidRPr="00593435">
        <w:rPr>
          <w:rFonts w:ascii="Times New Roman" w:hAnsi="Times New Roman" w:cs="Times New Roman"/>
          <w:sz w:val="24"/>
          <w:szCs w:val="24"/>
          <w:lang w:val="vi-VN"/>
        </w:rPr>
        <w:t xml:space="preserve">. </w:t>
      </w:r>
      <w:r w:rsidR="0021615C" w:rsidRPr="00593435">
        <w:rPr>
          <w:rFonts w:ascii="Times New Roman" w:hAnsi="Times New Roman" w:cs="Times New Roman"/>
          <w:sz w:val="24"/>
          <w:szCs w:val="24"/>
          <w:lang w:val="vi-VN"/>
        </w:rPr>
        <w:t xml:space="preserve">Do đó, </w:t>
      </w:r>
      <w:r w:rsidR="00897F13" w:rsidRPr="00593435">
        <w:rPr>
          <w:rFonts w:ascii="Times New Roman" w:hAnsi="Times New Roman" w:cs="Times New Roman"/>
          <w:sz w:val="24"/>
          <w:szCs w:val="24"/>
          <w:lang w:val="vi-VN"/>
        </w:rPr>
        <w:t>các nhà hoạch định chính sách cần tính đến yếu tố này khi xây dựng chính sách tăng cường sự hiện diện của nữ giới trong HĐQT</w:t>
      </w:r>
      <w:r w:rsidR="005A66A1" w:rsidRPr="005A66A1">
        <w:rPr>
          <w:rFonts w:ascii="Times New Roman" w:hAnsi="Times New Roman" w:cs="Times New Roman"/>
          <w:sz w:val="24"/>
          <w:szCs w:val="24"/>
          <w:lang w:val="vi-VN"/>
        </w:rPr>
        <w:t>.</w:t>
      </w:r>
    </w:p>
    <w:p w14:paraId="1BCF0F93" w14:textId="520AFE2B" w:rsidR="00897F13" w:rsidRPr="005A66A1" w:rsidRDefault="00DB7A58" w:rsidP="008218C1">
      <w:pPr>
        <w:spacing w:before="120" w:after="0" w:line="312" w:lineRule="auto"/>
        <w:jc w:val="both"/>
        <w:rPr>
          <w:rFonts w:ascii="Times New Roman" w:hAnsi="Times New Roman" w:cs="Times New Roman"/>
          <w:b/>
          <w:bCs/>
          <w:sz w:val="24"/>
          <w:szCs w:val="24"/>
          <w:lang w:val="vi-VN"/>
        </w:rPr>
      </w:pPr>
      <w:r w:rsidRPr="005A66A1">
        <w:rPr>
          <w:rFonts w:ascii="Times New Roman" w:hAnsi="Times New Roman" w:cs="Times New Roman"/>
          <w:b/>
          <w:bCs/>
          <w:sz w:val="24"/>
          <w:szCs w:val="24"/>
          <w:lang w:val="vi-VN"/>
        </w:rPr>
        <w:t>Tài liệu tham khảo</w:t>
      </w:r>
    </w:p>
    <w:p w14:paraId="719545A1" w14:textId="366E30BD"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t xml:space="preserve">[1]. </w:t>
      </w:r>
      <w:r w:rsidR="00897F13" w:rsidRPr="00593435">
        <w:rPr>
          <w:rFonts w:ascii="Times New Roman" w:hAnsi="Times New Roman" w:cs="Times New Roman"/>
          <w:sz w:val="24"/>
          <w:szCs w:val="24"/>
        </w:rPr>
        <w:fldChar w:fldCharType="begin"/>
      </w:r>
      <w:r w:rsidR="00897F13" w:rsidRPr="00593435">
        <w:rPr>
          <w:rFonts w:ascii="Times New Roman" w:hAnsi="Times New Roman" w:cs="Times New Roman"/>
          <w:sz w:val="24"/>
          <w:szCs w:val="24"/>
        </w:rPr>
        <w:instrText xml:space="preserve"> ADDIN EN.REFLIST </w:instrText>
      </w:r>
      <w:r w:rsidR="00897F13" w:rsidRPr="00593435">
        <w:rPr>
          <w:rFonts w:ascii="Times New Roman" w:hAnsi="Times New Roman" w:cs="Times New Roman"/>
          <w:sz w:val="24"/>
          <w:szCs w:val="24"/>
        </w:rPr>
        <w:fldChar w:fldCharType="separate"/>
      </w:r>
      <w:r w:rsidR="00897F13" w:rsidRPr="00593435">
        <w:rPr>
          <w:rFonts w:ascii="Times New Roman" w:hAnsi="Times New Roman" w:cs="Times New Roman"/>
          <w:sz w:val="24"/>
          <w:szCs w:val="24"/>
        </w:rPr>
        <w:t xml:space="preserve">Adams, R. B., &amp; Ferreira, D. (2009). Women in the boardroom and their impact on governance and performance. </w:t>
      </w:r>
      <w:r w:rsidR="00897F13" w:rsidRPr="00593435">
        <w:rPr>
          <w:rFonts w:ascii="Times New Roman" w:hAnsi="Times New Roman" w:cs="Times New Roman"/>
          <w:i/>
          <w:sz w:val="24"/>
          <w:szCs w:val="24"/>
        </w:rPr>
        <w:t>Journal of Financial Economics, 94</w:t>
      </w:r>
      <w:r w:rsidR="00897F13" w:rsidRPr="00593435">
        <w:rPr>
          <w:rFonts w:ascii="Times New Roman" w:hAnsi="Times New Roman" w:cs="Times New Roman"/>
          <w:sz w:val="24"/>
          <w:szCs w:val="24"/>
        </w:rPr>
        <w:t xml:space="preserve">(2), 291-309. </w:t>
      </w:r>
    </w:p>
    <w:p w14:paraId="48A56440" w14:textId="0E3C329C"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t xml:space="preserve">[2]. </w:t>
      </w:r>
      <w:r w:rsidR="00897F13" w:rsidRPr="00593435">
        <w:rPr>
          <w:rFonts w:ascii="Times New Roman" w:hAnsi="Times New Roman" w:cs="Times New Roman"/>
          <w:sz w:val="24"/>
          <w:szCs w:val="24"/>
        </w:rPr>
        <w:t xml:space="preserve">Arnaboldi, F., Casu, B., Kalotychou, E., &amp; Sarkisyan, A. (2020). The performance effects of board heterogeneity: what works for EU banks? </w:t>
      </w:r>
      <w:r w:rsidR="00897F13" w:rsidRPr="00593435">
        <w:rPr>
          <w:rFonts w:ascii="Times New Roman" w:hAnsi="Times New Roman" w:cs="Times New Roman"/>
          <w:i/>
          <w:sz w:val="24"/>
          <w:szCs w:val="24"/>
        </w:rPr>
        <w:t>The European Journal of Finance, 26</w:t>
      </w:r>
      <w:r w:rsidR="00897F13" w:rsidRPr="00593435">
        <w:rPr>
          <w:rFonts w:ascii="Times New Roman" w:hAnsi="Times New Roman" w:cs="Times New Roman"/>
          <w:sz w:val="24"/>
          <w:szCs w:val="24"/>
        </w:rPr>
        <w:t xml:space="preserve">(10), 897-924. </w:t>
      </w:r>
    </w:p>
    <w:p w14:paraId="09E31B8E" w14:textId="7B657DCC"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t xml:space="preserve">[3]. </w:t>
      </w:r>
      <w:r w:rsidR="00897F13" w:rsidRPr="00593435">
        <w:rPr>
          <w:rFonts w:ascii="Times New Roman" w:hAnsi="Times New Roman" w:cs="Times New Roman"/>
          <w:sz w:val="24"/>
          <w:szCs w:val="24"/>
        </w:rPr>
        <w:t xml:space="preserve">Barth, J. R., Caprio Jr, G., &amp; Levine, R. (2013). Bank Regulation and Supervision in 180 Countries from 1999 to 2011. </w:t>
      </w:r>
      <w:r w:rsidR="00897F13" w:rsidRPr="00593435">
        <w:rPr>
          <w:rFonts w:ascii="Times New Roman" w:hAnsi="Times New Roman" w:cs="Times New Roman"/>
          <w:i/>
          <w:sz w:val="24"/>
          <w:szCs w:val="24"/>
        </w:rPr>
        <w:t>Journal of Financial Economic Policy, 5</w:t>
      </w:r>
      <w:r w:rsidR="00897F13" w:rsidRPr="00593435">
        <w:rPr>
          <w:rFonts w:ascii="Times New Roman" w:hAnsi="Times New Roman" w:cs="Times New Roman"/>
          <w:sz w:val="24"/>
          <w:szCs w:val="24"/>
        </w:rPr>
        <w:t xml:space="preserve">(2), 111-219. </w:t>
      </w:r>
    </w:p>
    <w:p w14:paraId="13E8C4FF" w14:textId="69291892"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897F13" w:rsidRPr="00593435">
        <w:rPr>
          <w:rFonts w:ascii="Times New Roman" w:hAnsi="Times New Roman" w:cs="Times New Roman"/>
          <w:sz w:val="24"/>
          <w:szCs w:val="24"/>
        </w:rPr>
        <w:t xml:space="preserve">Battese, G. E., &amp; Coelli, T. J. (1995). A model for technical inefficiency effects in a stochastic frontier production function for panel data. </w:t>
      </w:r>
      <w:r w:rsidR="00897F13" w:rsidRPr="00593435">
        <w:rPr>
          <w:rFonts w:ascii="Times New Roman" w:hAnsi="Times New Roman" w:cs="Times New Roman"/>
          <w:i/>
          <w:sz w:val="24"/>
          <w:szCs w:val="24"/>
        </w:rPr>
        <w:t>Empirical economics, 20</w:t>
      </w:r>
      <w:r w:rsidR="00897F13" w:rsidRPr="00593435">
        <w:rPr>
          <w:rFonts w:ascii="Times New Roman" w:hAnsi="Times New Roman" w:cs="Times New Roman"/>
          <w:sz w:val="24"/>
          <w:szCs w:val="24"/>
        </w:rPr>
        <w:t xml:space="preserve">(2), 325-332. </w:t>
      </w:r>
    </w:p>
    <w:p w14:paraId="3830F610" w14:textId="4C1B3EF9"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t xml:space="preserve">[5]. </w:t>
      </w:r>
      <w:r w:rsidR="00897F13" w:rsidRPr="00593435">
        <w:rPr>
          <w:rFonts w:ascii="Times New Roman" w:hAnsi="Times New Roman" w:cs="Times New Roman"/>
          <w:sz w:val="24"/>
          <w:szCs w:val="24"/>
        </w:rPr>
        <w:t xml:space="preserve">Berger, A. N., Kick, T., &amp; Schaeck, K. (2014). Executive board composition and bank risk taking. </w:t>
      </w:r>
      <w:r w:rsidR="00897F13" w:rsidRPr="00593435">
        <w:rPr>
          <w:rFonts w:ascii="Times New Roman" w:hAnsi="Times New Roman" w:cs="Times New Roman"/>
          <w:i/>
          <w:sz w:val="24"/>
          <w:szCs w:val="24"/>
        </w:rPr>
        <w:t>Journal of Corporate Finance, 28</w:t>
      </w:r>
      <w:r w:rsidR="00897F13" w:rsidRPr="00593435">
        <w:rPr>
          <w:rFonts w:ascii="Times New Roman" w:hAnsi="Times New Roman" w:cs="Times New Roman"/>
          <w:sz w:val="24"/>
          <w:szCs w:val="24"/>
        </w:rPr>
        <w:t xml:space="preserve">, 48-65. </w:t>
      </w:r>
    </w:p>
    <w:p w14:paraId="7F6F747A" w14:textId="27AA9B29"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t xml:space="preserve">[6]. </w:t>
      </w:r>
      <w:r w:rsidR="00897F13" w:rsidRPr="00593435">
        <w:rPr>
          <w:rFonts w:ascii="Times New Roman" w:hAnsi="Times New Roman" w:cs="Times New Roman"/>
          <w:sz w:val="24"/>
          <w:szCs w:val="24"/>
        </w:rPr>
        <w:t xml:space="preserve">Bos, J. W., &amp; Koetter, M. (2011). Handling losses in translog profit models. </w:t>
      </w:r>
      <w:r w:rsidR="00897F13" w:rsidRPr="00593435">
        <w:rPr>
          <w:rFonts w:ascii="Times New Roman" w:hAnsi="Times New Roman" w:cs="Times New Roman"/>
          <w:i/>
          <w:sz w:val="24"/>
          <w:szCs w:val="24"/>
        </w:rPr>
        <w:t>Applied Economics, 43</w:t>
      </w:r>
      <w:r w:rsidR="00897F13" w:rsidRPr="00593435">
        <w:rPr>
          <w:rFonts w:ascii="Times New Roman" w:hAnsi="Times New Roman" w:cs="Times New Roman"/>
          <w:sz w:val="24"/>
          <w:szCs w:val="24"/>
        </w:rPr>
        <w:t xml:space="preserve">(3), 307-312. </w:t>
      </w:r>
    </w:p>
    <w:p w14:paraId="7CAD69ED" w14:textId="002BEF9B"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t xml:space="preserve">[7]. </w:t>
      </w:r>
      <w:r w:rsidR="00897F13" w:rsidRPr="00593435">
        <w:rPr>
          <w:rFonts w:ascii="Times New Roman" w:hAnsi="Times New Roman" w:cs="Times New Roman"/>
          <w:sz w:val="24"/>
          <w:szCs w:val="24"/>
        </w:rPr>
        <w:t xml:space="preserve">Cardillo, G., Onali, E., &amp; Torluccio, G. (2020). Does gender diversity on banks' boards matter? Evidence from public bailouts. </w:t>
      </w:r>
      <w:r w:rsidR="00897F13" w:rsidRPr="00593435">
        <w:rPr>
          <w:rFonts w:ascii="Times New Roman" w:hAnsi="Times New Roman" w:cs="Times New Roman"/>
          <w:i/>
          <w:sz w:val="24"/>
          <w:szCs w:val="24"/>
        </w:rPr>
        <w:t>Journal of Corporate Finance</w:t>
      </w:r>
      <w:r w:rsidR="00897F13" w:rsidRPr="00593435">
        <w:rPr>
          <w:rFonts w:ascii="Times New Roman" w:hAnsi="Times New Roman" w:cs="Times New Roman"/>
          <w:sz w:val="24"/>
          <w:szCs w:val="24"/>
        </w:rPr>
        <w:t>.</w:t>
      </w:r>
    </w:p>
    <w:p w14:paraId="3E48B47C" w14:textId="59D782E9"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t xml:space="preserve">[8]. </w:t>
      </w:r>
      <w:r w:rsidR="00897F13" w:rsidRPr="00593435">
        <w:rPr>
          <w:rFonts w:ascii="Times New Roman" w:hAnsi="Times New Roman" w:cs="Times New Roman"/>
          <w:sz w:val="24"/>
          <w:szCs w:val="24"/>
        </w:rPr>
        <w:t xml:space="preserve">Daily, C. M., &amp; Dalton, D. R. (2003). Women in the boardroom: A business imperative. </w:t>
      </w:r>
      <w:r w:rsidR="00897F13" w:rsidRPr="00593435">
        <w:rPr>
          <w:rFonts w:ascii="Times New Roman" w:hAnsi="Times New Roman" w:cs="Times New Roman"/>
          <w:i/>
          <w:sz w:val="24"/>
          <w:szCs w:val="24"/>
        </w:rPr>
        <w:t>Journal of Business Strategy, 24</w:t>
      </w:r>
      <w:r w:rsidR="00897F13" w:rsidRPr="00593435">
        <w:rPr>
          <w:rFonts w:ascii="Times New Roman" w:hAnsi="Times New Roman" w:cs="Times New Roman"/>
          <w:sz w:val="24"/>
          <w:szCs w:val="24"/>
        </w:rPr>
        <w:t xml:space="preserve">(5), 8-10. </w:t>
      </w:r>
    </w:p>
    <w:p w14:paraId="0640C148" w14:textId="5D4C1AA1"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t xml:space="preserve">[9]. </w:t>
      </w:r>
      <w:r w:rsidR="00897F13" w:rsidRPr="00593435">
        <w:rPr>
          <w:rFonts w:ascii="Times New Roman" w:hAnsi="Times New Roman" w:cs="Times New Roman"/>
          <w:sz w:val="24"/>
          <w:szCs w:val="24"/>
        </w:rPr>
        <w:t xml:space="preserve">Dalton, D. R., Daily, C. M., Johnson, J. L., &amp; Ellstrand, A. E. (1999). Number of directors and financial performance: A meta-analysis. </w:t>
      </w:r>
      <w:r w:rsidR="00897F13" w:rsidRPr="00593435">
        <w:rPr>
          <w:rFonts w:ascii="Times New Roman" w:hAnsi="Times New Roman" w:cs="Times New Roman"/>
          <w:i/>
          <w:sz w:val="24"/>
          <w:szCs w:val="24"/>
        </w:rPr>
        <w:t>Academy of Management Journal, 42</w:t>
      </w:r>
      <w:r w:rsidR="00897F13" w:rsidRPr="00593435">
        <w:rPr>
          <w:rFonts w:ascii="Times New Roman" w:hAnsi="Times New Roman" w:cs="Times New Roman"/>
          <w:sz w:val="24"/>
          <w:szCs w:val="24"/>
        </w:rPr>
        <w:t xml:space="preserve">(6), 674-686. </w:t>
      </w:r>
    </w:p>
    <w:p w14:paraId="262583CD" w14:textId="3940A7DA"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t xml:space="preserve">[10]. </w:t>
      </w:r>
      <w:r w:rsidR="00897F13" w:rsidRPr="00593435">
        <w:rPr>
          <w:rFonts w:ascii="Times New Roman" w:hAnsi="Times New Roman" w:cs="Times New Roman"/>
          <w:sz w:val="24"/>
          <w:szCs w:val="24"/>
        </w:rPr>
        <w:t xml:space="preserve">Fan, Y., Jiang, Y., Zhang, X., &amp; Zhou, Y. (2019). Women on boards and bank earnings management: From zero to hero. </w:t>
      </w:r>
      <w:r w:rsidR="00897F13" w:rsidRPr="00593435">
        <w:rPr>
          <w:rFonts w:ascii="Times New Roman" w:hAnsi="Times New Roman" w:cs="Times New Roman"/>
          <w:i/>
          <w:sz w:val="24"/>
          <w:szCs w:val="24"/>
        </w:rPr>
        <w:t>Journal of Banking &amp; Finance, 107</w:t>
      </w:r>
      <w:r w:rsidR="00897F13" w:rsidRPr="00593435">
        <w:rPr>
          <w:rFonts w:ascii="Times New Roman" w:hAnsi="Times New Roman" w:cs="Times New Roman"/>
          <w:sz w:val="24"/>
          <w:szCs w:val="24"/>
        </w:rPr>
        <w:t xml:space="preserve">, 105607. </w:t>
      </w:r>
    </w:p>
    <w:p w14:paraId="083E128A" w14:textId="30091155"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t xml:space="preserve">[11]. </w:t>
      </w:r>
      <w:r w:rsidR="00897F13" w:rsidRPr="00593435">
        <w:rPr>
          <w:rFonts w:ascii="Times New Roman" w:hAnsi="Times New Roman" w:cs="Times New Roman"/>
          <w:sz w:val="24"/>
          <w:szCs w:val="24"/>
        </w:rPr>
        <w:t xml:space="preserve">Fang, S., Goh, C., Roberts, M., Xu, L. C., &amp; Zeufack, A. (2020). Female Business Leaders, Business and Cultural Environment, and Productivity around the World. </w:t>
      </w:r>
      <w:r w:rsidR="00897F13" w:rsidRPr="00593435">
        <w:rPr>
          <w:rFonts w:ascii="Times New Roman" w:hAnsi="Times New Roman" w:cs="Times New Roman"/>
          <w:i/>
          <w:sz w:val="24"/>
          <w:szCs w:val="24"/>
        </w:rPr>
        <w:t>World Bank Policy Research Working Paper</w:t>
      </w:r>
      <w:r w:rsidR="00897F13" w:rsidRPr="00593435">
        <w:rPr>
          <w:rFonts w:ascii="Times New Roman" w:hAnsi="Times New Roman" w:cs="Times New Roman"/>
          <w:sz w:val="24"/>
          <w:szCs w:val="24"/>
        </w:rPr>
        <w:t xml:space="preserve">(9275). </w:t>
      </w:r>
    </w:p>
    <w:p w14:paraId="5059DB0C" w14:textId="17A0EFD1"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t xml:space="preserve">[12]. </w:t>
      </w:r>
      <w:r w:rsidR="00897F13" w:rsidRPr="00593435">
        <w:rPr>
          <w:rFonts w:ascii="Times New Roman" w:hAnsi="Times New Roman" w:cs="Times New Roman"/>
          <w:sz w:val="24"/>
          <w:szCs w:val="24"/>
        </w:rPr>
        <w:t xml:space="preserve">Farag, H., &amp; Mallin, C. (2017). Board diversity and financial fragility: Evidence from European banks. </w:t>
      </w:r>
      <w:r w:rsidR="00897F13" w:rsidRPr="00593435">
        <w:rPr>
          <w:rFonts w:ascii="Times New Roman" w:hAnsi="Times New Roman" w:cs="Times New Roman"/>
          <w:i/>
          <w:sz w:val="24"/>
          <w:szCs w:val="24"/>
        </w:rPr>
        <w:t>International Review of Financial Analysis, 49</w:t>
      </w:r>
      <w:r w:rsidR="00897F13" w:rsidRPr="00593435">
        <w:rPr>
          <w:rFonts w:ascii="Times New Roman" w:hAnsi="Times New Roman" w:cs="Times New Roman"/>
          <w:sz w:val="24"/>
          <w:szCs w:val="24"/>
        </w:rPr>
        <w:t xml:space="preserve">, 98-112. </w:t>
      </w:r>
    </w:p>
    <w:p w14:paraId="22354DED" w14:textId="50591BC8"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t xml:space="preserve">[13]. </w:t>
      </w:r>
      <w:r w:rsidR="00897F13" w:rsidRPr="00593435">
        <w:rPr>
          <w:rFonts w:ascii="Times New Roman" w:hAnsi="Times New Roman" w:cs="Times New Roman"/>
          <w:sz w:val="24"/>
          <w:szCs w:val="24"/>
        </w:rPr>
        <w:t xml:space="preserve">Farrell, K. A., &amp; Hersch, P. L. (2005). Additions to corporate boards: the effect of gender. </w:t>
      </w:r>
      <w:r w:rsidR="00897F13" w:rsidRPr="00593435">
        <w:rPr>
          <w:rFonts w:ascii="Times New Roman" w:hAnsi="Times New Roman" w:cs="Times New Roman"/>
          <w:i/>
          <w:sz w:val="24"/>
          <w:szCs w:val="24"/>
        </w:rPr>
        <w:t>Journal of Corporate Finance, 11</w:t>
      </w:r>
      <w:r w:rsidR="00897F13" w:rsidRPr="00593435">
        <w:rPr>
          <w:rFonts w:ascii="Times New Roman" w:hAnsi="Times New Roman" w:cs="Times New Roman"/>
          <w:sz w:val="24"/>
          <w:szCs w:val="24"/>
        </w:rPr>
        <w:t xml:space="preserve">(1), 85-106. </w:t>
      </w:r>
    </w:p>
    <w:p w14:paraId="71FB4C85" w14:textId="21E849F1"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t xml:space="preserve">[14]. </w:t>
      </w:r>
      <w:r w:rsidR="00897F13" w:rsidRPr="00593435">
        <w:rPr>
          <w:rFonts w:ascii="Times New Roman" w:hAnsi="Times New Roman" w:cs="Times New Roman"/>
          <w:sz w:val="24"/>
          <w:szCs w:val="24"/>
        </w:rPr>
        <w:t xml:space="preserve">Fiordelisi, F., Marques-Ibanez, D., &amp; Molyneux, P. (2011). Efficiency and risk in European banking. </w:t>
      </w:r>
      <w:r w:rsidR="00897F13" w:rsidRPr="00593435">
        <w:rPr>
          <w:rFonts w:ascii="Times New Roman" w:hAnsi="Times New Roman" w:cs="Times New Roman"/>
          <w:i/>
          <w:sz w:val="24"/>
          <w:szCs w:val="24"/>
        </w:rPr>
        <w:t>Journal of Banking &amp; Finance, 35</w:t>
      </w:r>
      <w:r w:rsidR="00897F13" w:rsidRPr="00593435">
        <w:rPr>
          <w:rFonts w:ascii="Times New Roman" w:hAnsi="Times New Roman" w:cs="Times New Roman"/>
          <w:sz w:val="24"/>
          <w:szCs w:val="24"/>
        </w:rPr>
        <w:t xml:space="preserve">(5), 1315-1326. </w:t>
      </w:r>
    </w:p>
    <w:p w14:paraId="7972523B" w14:textId="022CA4F3"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t xml:space="preserve">[15]. </w:t>
      </w:r>
      <w:r w:rsidR="00897F13" w:rsidRPr="00593435">
        <w:rPr>
          <w:rFonts w:ascii="Times New Roman" w:hAnsi="Times New Roman" w:cs="Times New Roman"/>
          <w:sz w:val="24"/>
          <w:szCs w:val="24"/>
        </w:rPr>
        <w:t xml:space="preserve">García-Meca, E., García-Sánchez, I.-M., &amp; Martínez-Ferrero, J. (2015). Board diversity and its effects on bank performance: An international analysis. </w:t>
      </w:r>
      <w:r w:rsidR="00897F13" w:rsidRPr="00593435">
        <w:rPr>
          <w:rFonts w:ascii="Times New Roman" w:hAnsi="Times New Roman" w:cs="Times New Roman"/>
          <w:i/>
          <w:sz w:val="24"/>
          <w:szCs w:val="24"/>
        </w:rPr>
        <w:t>Journal of Banking &amp; Finance, 53</w:t>
      </w:r>
      <w:r w:rsidR="00897F13" w:rsidRPr="00593435">
        <w:rPr>
          <w:rFonts w:ascii="Times New Roman" w:hAnsi="Times New Roman" w:cs="Times New Roman"/>
          <w:sz w:val="24"/>
          <w:szCs w:val="24"/>
        </w:rPr>
        <w:t xml:space="preserve">, 202-214. </w:t>
      </w:r>
    </w:p>
    <w:p w14:paraId="210E0796" w14:textId="2CF5C2B8"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t xml:space="preserve">[16]. </w:t>
      </w:r>
      <w:r w:rsidR="00897F13" w:rsidRPr="00593435">
        <w:rPr>
          <w:rFonts w:ascii="Times New Roman" w:hAnsi="Times New Roman" w:cs="Times New Roman"/>
          <w:sz w:val="24"/>
          <w:szCs w:val="24"/>
        </w:rPr>
        <w:t xml:space="preserve">Gul, F. A., Srinidhi, B., &amp; Ng, A. C. (2011). Does board gender diversity improve the informativeness of stock prices? </w:t>
      </w:r>
      <w:r w:rsidR="00897F13" w:rsidRPr="00593435">
        <w:rPr>
          <w:rFonts w:ascii="Times New Roman" w:hAnsi="Times New Roman" w:cs="Times New Roman"/>
          <w:i/>
          <w:sz w:val="24"/>
          <w:szCs w:val="24"/>
        </w:rPr>
        <w:t>Journal of Accounting and Economics, 51</w:t>
      </w:r>
      <w:r w:rsidR="00897F13" w:rsidRPr="00593435">
        <w:rPr>
          <w:rFonts w:ascii="Times New Roman" w:hAnsi="Times New Roman" w:cs="Times New Roman"/>
          <w:sz w:val="24"/>
          <w:szCs w:val="24"/>
        </w:rPr>
        <w:t xml:space="preserve">(3), 314-338. </w:t>
      </w:r>
    </w:p>
    <w:p w14:paraId="3245BDB1" w14:textId="6C512BDD"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t xml:space="preserve">[17]. </w:t>
      </w:r>
      <w:r w:rsidR="00897F13" w:rsidRPr="00593435">
        <w:rPr>
          <w:rFonts w:ascii="Times New Roman" w:hAnsi="Times New Roman" w:cs="Times New Roman"/>
          <w:sz w:val="24"/>
          <w:szCs w:val="24"/>
        </w:rPr>
        <w:t xml:space="preserve">Hasan, I., Koetter, M., &amp; Wedow, M. (2009). Regional growth and finance in Europe: Is there a quality effect of bank efficiency? </w:t>
      </w:r>
      <w:r w:rsidR="00897F13" w:rsidRPr="00593435">
        <w:rPr>
          <w:rFonts w:ascii="Times New Roman" w:hAnsi="Times New Roman" w:cs="Times New Roman"/>
          <w:i/>
          <w:sz w:val="24"/>
          <w:szCs w:val="24"/>
        </w:rPr>
        <w:t>Journal of Banking &amp; Finance, 33</w:t>
      </w:r>
      <w:r w:rsidR="00897F13" w:rsidRPr="00593435">
        <w:rPr>
          <w:rFonts w:ascii="Times New Roman" w:hAnsi="Times New Roman" w:cs="Times New Roman"/>
          <w:sz w:val="24"/>
          <w:szCs w:val="24"/>
        </w:rPr>
        <w:t xml:space="preserve">(8), 1446-1453. </w:t>
      </w:r>
    </w:p>
    <w:p w14:paraId="447DEEB4" w14:textId="1AFB79F8"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t xml:space="preserve">[18]. </w:t>
      </w:r>
      <w:r w:rsidR="00897F13" w:rsidRPr="00593435">
        <w:rPr>
          <w:rFonts w:ascii="Times New Roman" w:hAnsi="Times New Roman" w:cs="Times New Roman"/>
          <w:sz w:val="24"/>
          <w:szCs w:val="24"/>
        </w:rPr>
        <w:t xml:space="preserve">Hillman, A. J., Cannella Jr, A. A., &amp; Harris, I. C. (2002). Women and racial minorities in the boardroom: How do directors differ? </w:t>
      </w:r>
      <w:r w:rsidR="00897F13" w:rsidRPr="00593435">
        <w:rPr>
          <w:rFonts w:ascii="Times New Roman" w:hAnsi="Times New Roman" w:cs="Times New Roman"/>
          <w:i/>
          <w:sz w:val="24"/>
          <w:szCs w:val="24"/>
        </w:rPr>
        <w:t>Journal of management, 28</w:t>
      </w:r>
      <w:r w:rsidR="00897F13" w:rsidRPr="00593435">
        <w:rPr>
          <w:rFonts w:ascii="Times New Roman" w:hAnsi="Times New Roman" w:cs="Times New Roman"/>
          <w:sz w:val="24"/>
          <w:szCs w:val="24"/>
        </w:rPr>
        <w:t xml:space="preserve">(6), 747-763. </w:t>
      </w:r>
    </w:p>
    <w:p w14:paraId="3509E5A8" w14:textId="3CF721FA"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lastRenderedPageBreak/>
        <w:t xml:space="preserve">[19]. </w:t>
      </w:r>
      <w:r w:rsidR="00897F13" w:rsidRPr="00593435">
        <w:rPr>
          <w:rFonts w:ascii="Times New Roman" w:hAnsi="Times New Roman" w:cs="Times New Roman"/>
          <w:sz w:val="24"/>
          <w:szCs w:val="24"/>
        </w:rPr>
        <w:t xml:space="preserve">Koetter, M., &amp; Wedow, M. (2010). Finance and growth in a bank-based economy: Is it quantity or quality that matters? </w:t>
      </w:r>
      <w:r w:rsidR="00897F13" w:rsidRPr="00593435">
        <w:rPr>
          <w:rFonts w:ascii="Times New Roman" w:hAnsi="Times New Roman" w:cs="Times New Roman"/>
          <w:i/>
          <w:sz w:val="24"/>
          <w:szCs w:val="24"/>
        </w:rPr>
        <w:t>Journal of International Money and Finance, 29</w:t>
      </w:r>
      <w:r w:rsidR="00897F13" w:rsidRPr="00593435">
        <w:rPr>
          <w:rFonts w:ascii="Times New Roman" w:hAnsi="Times New Roman" w:cs="Times New Roman"/>
          <w:sz w:val="24"/>
          <w:szCs w:val="24"/>
        </w:rPr>
        <w:t xml:space="preserve">(8), 1529-1545. </w:t>
      </w:r>
    </w:p>
    <w:p w14:paraId="5768ECA4" w14:textId="4D02E75A"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t xml:space="preserve">[20]. </w:t>
      </w:r>
      <w:r w:rsidR="00897F13" w:rsidRPr="00593435">
        <w:rPr>
          <w:rFonts w:ascii="Times New Roman" w:hAnsi="Times New Roman" w:cs="Times New Roman"/>
          <w:sz w:val="24"/>
          <w:szCs w:val="24"/>
        </w:rPr>
        <w:t xml:space="preserve">Luo, Y., Tanna, S., &amp; De Vita, G. (2016). Financial openness, risk and bank efficiency: Cross-country evidence. </w:t>
      </w:r>
      <w:r w:rsidR="00897F13" w:rsidRPr="00593435">
        <w:rPr>
          <w:rFonts w:ascii="Times New Roman" w:hAnsi="Times New Roman" w:cs="Times New Roman"/>
          <w:i/>
          <w:sz w:val="24"/>
          <w:szCs w:val="24"/>
        </w:rPr>
        <w:t>Journal of Financial Stability, 24</w:t>
      </w:r>
      <w:r w:rsidR="00897F13" w:rsidRPr="00593435">
        <w:rPr>
          <w:rFonts w:ascii="Times New Roman" w:hAnsi="Times New Roman" w:cs="Times New Roman"/>
          <w:sz w:val="24"/>
          <w:szCs w:val="24"/>
        </w:rPr>
        <w:t xml:space="preserve">, 132-148. </w:t>
      </w:r>
    </w:p>
    <w:p w14:paraId="6F4B2CB6" w14:textId="712E741D"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t xml:space="preserve">[21]. </w:t>
      </w:r>
      <w:r w:rsidR="00897F13" w:rsidRPr="00593435">
        <w:rPr>
          <w:rFonts w:ascii="Times New Roman" w:hAnsi="Times New Roman" w:cs="Times New Roman"/>
          <w:sz w:val="24"/>
          <w:szCs w:val="24"/>
        </w:rPr>
        <w:t xml:space="preserve">Matsa, D. A., &amp; Miller, A. R. (2013). A female style in corporate leadership? Evidence from quotas. </w:t>
      </w:r>
      <w:r w:rsidR="00897F13" w:rsidRPr="00593435">
        <w:rPr>
          <w:rFonts w:ascii="Times New Roman" w:hAnsi="Times New Roman" w:cs="Times New Roman"/>
          <w:i/>
          <w:sz w:val="24"/>
          <w:szCs w:val="24"/>
        </w:rPr>
        <w:t>American Economic Journal: Applied Economics, 5</w:t>
      </w:r>
      <w:r w:rsidR="00897F13" w:rsidRPr="00593435">
        <w:rPr>
          <w:rFonts w:ascii="Times New Roman" w:hAnsi="Times New Roman" w:cs="Times New Roman"/>
          <w:sz w:val="24"/>
          <w:szCs w:val="24"/>
        </w:rPr>
        <w:t xml:space="preserve">(3), 136-169. </w:t>
      </w:r>
    </w:p>
    <w:p w14:paraId="31FF39DB" w14:textId="4CA911E8"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t xml:space="preserve">[22]. </w:t>
      </w:r>
      <w:r w:rsidR="00897F13" w:rsidRPr="00593435">
        <w:rPr>
          <w:rFonts w:ascii="Times New Roman" w:hAnsi="Times New Roman" w:cs="Times New Roman"/>
          <w:sz w:val="24"/>
          <w:szCs w:val="24"/>
        </w:rPr>
        <w:t xml:space="preserve">Mester, L. J. (1996). A study of bank efficiency taking into account risk-preferences. </w:t>
      </w:r>
      <w:r w:rsidR="00897F13" w:rsidRPr="00593435">
        <w:rPr>
          <w:rFonts w:ascii="Times New Roman" w:hAnsi="Times New Roman" w:cs="Times New Roman"/>
          <w:i/>
          <w:sz w:val="24"/>
          <w:szCs w:val="24"/>
        </w:rPr>
        <w:t>Jou</w:t>
      </w:r>
      <w:r>
        <w:rPr>
          <w:rFonts w:ascii="Times New Roman" w:hAnsi="Times New Roman" w:cs="Times New Roman"/>
          <w:i/>
          <w:sz w:val="24"/>
          <w:szCs w:val="24"/>
        </w:rPr>
        <w:t>r</w:t>
      </w:r>
      <w:r w:rsidR="00897F13" w:rsidRPr="00593435">
        <w:rPr>
          <w:rFonts w:ascii="Times New Roman" w:hAnsi="Times New Roman" w:cs="Times New Roman"/>
          <w:i/>
          <w:sz w:val="24"/>
          <w:szCs w:val="24"/>
        </w:rPr>
        <w:t>nal of Banking &amp; Finance, 20</w:t>
      </w:r>
      <w:r w:rsidR="00897F13" w:rsidRPr="00593435">
        <w:rPr>
          <w:rFonts w:ascii="Times New Roman" w:hAnsi="Times New Roman" w:cs="Times New Roman"/>
          <w:sz w:val="24"/>
          <w:szCs w:val="24"/>
        </w:rPr>
        <w:t xml:space="preserve">(6), 1025-1045. </w:t>
      </w:r>
    </w:p>
    <w:p w14:paraId="275B443A" w14:textId="71B0B6F3"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t xml:space="preserve">[23]. </w:t>
      </w:r>
      <w:r w:rsidR="00897F13" w:rsidRPr="00593435">
        <w:rPr>
          <w:rFonts w:ascii="Times New Roman" w:hAnsi="Times New Roman" w:cs="Times New Roman"/>
          <w:sz w:val="24"/>
          <w:szCs w:val="24"/>
        </w:rPr>
        <w:t xml:space="preserve">Miller, T., &amp; Triana, M. D. C. (2009). Demographic diversity in the boardroom: Mediators of the board diversity–firm performance relationship. </w:t>
      </w:r>
      <w:r w:rsidR="00897F13" w:rsidRPr="00593435">
        <w:rPr>
          <w:rFonts w:ascii="Times New Roman" w:hAnsi="Times New Roman" w:cs="Times New Roman"/>
          <w:i/>
          <w:sz w:val="24"/>
          <w:szCs w:val="24"/>
        </w:rPr>
        <w:t>Journal of Management studies, 46</w:t>
      </w:r>
      <w:r w:rsidR="00897F13" w:rsidRPr="00593435">
        <w:rPr>
          <w:rFonts w:ascii="Times New Roman" w:hAnsi="Times New Roman" w:cs="Times New Roman"/>
          <w:sz w:val="24"/>
          <w:szCs w:val="24"/>
        </w:rPr>
        <w:t xml:space="preserve">(5), 755-786. </w:t>
      </w:r>
    </w:p>
    <w:p w14:paraId="73552B5A" w14:textId="31AA7A3F"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t xml:space="preserve">[24]. </w:t>
      </w:r>
      <w:r w:rsidR="00897F13" w:rsidRPr="00593435">
        <w:rPr>
          <w:rFonts w:ascii="Times New Roman" w:hAnsi="Times New Roman" w:cs="Times New Roman"/>
          <w:sz w:val="24"/>
          <w:szCs w:val="24"/>
        </w:rPr>
        <w:t xml:space="preserve">Milliken, F. J., &amp; Martins, L. L. (1996). Searching for common threads: Understanding the multiple effects of diversity in organizational groups. </w:t>
      </w:r>
      <w:r w:rsidR="00897F13" w:rsidRPr="00593435">
        <w:rPr>
          <w:rFonts w:ascii="Times New Roman" w:hAnsi="Times New Roman" w:cs="Times New Roman"/>
          <w:i/>
          <w:sz w:val="24"/>
          <w:szCs w:val="24"/>
        </w:rPr>
        <w:t>Academy of Management review, 21</w:t>
      </w:r>
      <w:r w:rsidR="00897F13" w:rsidRPr="00593435">
        <w:rPr>
          <w:rFonts w:ascii="Times New Roman" w:hAnsi="Times New Roman" w:cs="Times New Roman"/>
          <w:sz w:val="24"/>
          <w:szCs w:val="24"/>
        </w:rPr>
        <w:t xml:space="preserve">(2), 402-433. </w:t>
      </w:r>
    </w:p>
    <w:p w14:paraId="256D0413" w14:textId="6610A756"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t xml:space="preserve">[25]. </w:t>
      </w:r>
      <w:r w:rsidR="00897F13" w:rsidRPr="00593435">
        <w:rPr>
          <w:rFonts w:ascii="Times New Roman" w:hAnsi="Times New Roman" w:cs="Times New Roman"/>
          <w:sz w:val="24"/>
          <w:szCs w:val="24"/>
        </w:rPr>
        <w:t xml:space="preserve">Owen, A. L., &amp; Temesvary, J. (2018). The performance effects of gender diversity on bank boards. </w:t>
      </w:r>
      <w:r w:rsidR="00897F13" w:rsidRPr="00593435">
        <w:rPr>
          <w:rFonts w:ascii="Times New Roman" w:hAnsi="Times New Roman" w:cs="Times New Roman"/>
          <w:i/>
          <w:sz w:val="24"/>
          <w:szCs w:val="24"/>
        </w:rPr>
        <w:t>Journal of Banking &amp; Finance, 90</w:t>
      </w:r>
      <w:r w:rsidR="00897F13" w:rsidRPr="00593435">
        <w:rPr>
          <w:rFonts w:ascii="Times New Roman" w:hAnsi="Times New Roman" w:cs="Times New Roman"/>
          <w:sz w:val="24"/>
          <w:szCs w:val="24"/>
        </w:rPr>
        <w:t xml:space="preserve">, 50-63. </w:t>
      </w:r>
    </w:p>
    <w:p w14:paraId="233B3ED2" w14:textId="2B731E2C" w:rsidR="00897F13" w:rsidRPr="00593435" w:rsidRDefault="009D0821" w:rsidP="008218C1">
      <w:pPr>
        <w:pStyle w:val="EndNoteBibliography"/>
        <w:spacing w:before="120" w:after="0" w:line="312" w:lineRule="auto"/>
        <w:rPr>
          <w:rFonts w:ascii="Times New Roman" w:hAnsi="Times New Roman" w:cs="Times New Roman"/>
          <w:sz w:val="24"/>
          <w:szCs w:val="24"/>
        </w:rPr>
      </w:pPr>
      <w:r>
        <w:rPr>
          <w:rFonts w:ascii="Times New Roman" w:hAnsi="Times New Roman" w:cs="Times New Roman"/>
          <w:sz w:val="24"/>
          <w:szCs w:val="24"/>
        </w:rPr>
        <w:t xml:space="preserve">[26]. </w:t>
      </w:r>
      <w:r w:rsidR="00897F13" w:rsidRPr="00593435">
        <w:rPr>
          <w:rFonts w:ascii="Times New Roman" w:hAnsi="Times New Roman" w:cs="Times New Roman"/>
          <w:sz w:val="24"/>
          <w:szCs w:val="24"/>
        </w:rPr>
        <w:t xml:space="preserve">Pathan, S., &amp; Faff, R. (2013). Does board structure in banks really affect their performance? </w:t>
      </w:r>
      <w:r w:rsidR="00897F13" w:rsidRPr="00593435">
        <w:rPr>
          <w:rFonts w:ascii="Times New Roman" w:hAnsi="Times New Roman" w:cs="Times New Roman"/>
          <w:i/>
          <w:sz w:val="24"/>
          <w:szCs w:val="24"/>
        </w:rPr>
        <w:t>Journal of Banking &amp; Finance, 37</w:t>
      </w:r>
      <w:r w:rsidR="00897F13" w:rsidRPr="00593435">
        <w:rPr>
          <w:rFonts w:ascii="Times New Roman" w:hAnsi="Times New Roman" w:cs="Times New Roman"/>
          <w:sz w:val="24"/>
          <w:szCs w:val="24"/>
        </w:rPr>
        <w:t xml:space="preserve">(5), 1573-1589. </w:t>
      </w:r>
    </w:p>
    <w:p w14:paraId="6CED3D9C" w14:textId="05DE7E45" w:rsidR="0090385D" w:rsidRPr="00372333" w:rsidRDefault="00897F13" w:rsidP="00372333">
      <w:pPr>
        <w:pStyle w:val="ListParagraph"/>
        <w:spacing w:before="120" w:after="0" w:line="312" w:lineRule="auto"/>
        <w:ind w:left="0"/>
        <w:contextualSpacing w:val="0"/>
        <w:jc w:val="center"/>
        <w:rPr>
          <w:rFonts w:ascii="Times New Roman" w:hAnsi="Times New Roman" w:cs="Times New Roman"/>
          <w:b/>
          <w:bCs/>
          <w:sz w:val="24"/>
          <w:szCs w:val="24"/>
          <w:lang w:val="vi-VN"/>
        </w:rPr>
      </w:pPr>
      <w:r w:rsidRPr="00593435">
        <w:rPr>
          <w:rFonts w:ascii="Times New Roman" w:hAnsi="Times New Roman" w:cs="Times New Roman"/>
          <w:sz w:val="24"/>
          <w:szCs w:val="24"/>
        </w:rPr>
        <w:fldChar w:fldCharType="end"/>
      </w:r>
      <w:r w:rsidR="00372333" w:rsidRPr="00372333">
        <w:rPr>
          <w:rFonts w:ascii="Times New Roman" w:hAnsi="Times New Roman" w:cs="Times New Roman"/>
          <w:b/>
          <w:bCs/>
          <w:sz w:val="24"/>
          <w:szCs w:val="24"/>
        </w:rPr>
        <w:t>BOARD GENDER DIVERSITY AND BANK EFFICIENCY</w:t>
      </w:r>
    </w:p>
    <w:p w14:paraId="14F2AA7A" w14:textId="4EBBF632" w:rsidR="00372333" w:rsidRPr="00372333" w:rsidRDefault="00372333" w:rsidP="00372333">
      <w:pPr>
        <w:spacing w:before="120" w:after="0" w:line="312" w:lineRule="auto"/>
        <w:jc w:val="right"/>
        <w:rPr>
          <w:rFonts w:ascii="Times New Roman" w:hAnsi="Times New Roman" w:cs="Times New Roman"/>
          <w:i/>
          <w:iCs/>
          <w:sz w:val="24"/>
          <w:szCs w:val="24"/>
        </w:rPr>
      </w:pPr>
      <w:r>
        <w:rPr>
          <w:rFonts w:ascii="Times New Roman" w:hAnsi="Times New Roman" w:cs="Times New Roman"/>
          <w:i/>
          <w:iCs/>
          <w:sz w:val="24"/>
          <w:szCs w:val="24"/>
        </w:rPr>
        <w:t xml:space="preserve">Hoang </w:t>
      </w:r>
      <w:proofErr w:type="spellStart"/>
      <w:r>
        <w:rPr>
          <w:rFonts w:ascii="Times New Roman" w:hAnsi="Times New Roman" w:cs="Times New Roman"/>
          <w:i/>
          <w:iCs/>
          <w:sz w:val="24"/>
          <w:szCs w:val="24"/>
        </w:rPr>
        <w:t>Thi</w:t>
      </w:r>
      <w:proofErr w:type="spellEnd"/>
      <w:r>
        <w:rPr>
          <w:rFonts w:ascii="Times New Roman" w:hAnsi="Times New Roman" w:cs="Times New Roman"/>
          <w:i/>
          <w:iCs/>
          <w:sz w:val="24"/>
          <w:szCs w:val="24"/>
        </w:rPr>
        <w:t xml:space="preserve"> Mai Anh, Tran </w:t>
      </w:r>
      <w:proofErr w:type="spellStart"/>
      <w:r>
        <w:rPr>
          <w:rFonts w:ascii="Times New Roman" w:hAnsi="Times New Roman" w:cs="Times New Roman"/>
          <w:i/>
          <w:iCs/>
          <w:sz w:val="24"/>
          <w:szCs w:val="24"/>
        </w:rPr>
        <w:t>Tra</w:t>
      </w:r>
      <w:proofErr w:type="spellEnd"/>
      <w:r>
        <w:rPr>
          <w:rFonts w:ascii="Times New Roman" w:hAnsi="Times New Roman" w:cs="Times New Roman"/>
          <w:i/>
          <w:iCs/>
          <w:sz w:val="24"/>
          <w:szCs w:val="24"/>
        </w:rPr>
        <w:t xml:space="preserve"> My</w:t>
      </w:r>
    </w:p>
    <w:p w14:paraId="3C82DA1F" w14:textId="77777777" w:rsidR="00372333" w:rsidRPr="00E20254" w:rsidRDefault="00372333" w:rsidP="00372333">
      <w:pPr>
        <w:spacing w:before="120" w:after="0" w:line="312" w:lineRule="auto"/>
        <w:jc w:val="both"/>
        <w:rPr>
          <w:rFonts w:ascii="Times New Roman" w:hAnsi="Times New Roman" w:cs="Times New Roman"/>
          <w:b/>
          <w:bCs/>
          <w:sz w:val="24"/>
          <w:szCs w:val="24"/>
        </w:rPr>
      </w:pPr>
      <w:r w:rsidRPr="00E20254">
        <w:rPr>
          <w:rFonts w:ascii="Times New Roman" w:hAnsi="Times New Roman" w:cs="Times New Roman"/>
          <w:b/>
          <w:bCs/>
          <w:sz w:val="24"/>
          <w:szCs w:val="24"/>
        </w:rPr>
        <w:t>ABSTRACT</w:t>
      </w:r>
    </w:p>
    <w:p w14:paraId="02F69BE6" w14:textId="77777777" w:rsidR="00372333" w:rsidRPr="00593435" w:rsidRDefault="00372333" w:rsidP="00372333">
      <w:pPr>
        <w:spacing w:before="120" w:after="0" w:line="312" w:lineRule="auto"/>
        <w:ind w:firstLine="720"/>
        <w:jc w:val="both"/>
        <w:rPr>
          <w:rFonts w:ascii="Times New Roman" w:hAnsi="Times New Roman" w:cs="Times New Roman"/>
          <w:sz w:val="24"/>
          <w:szCs w:val="24"/>
        </w:rPr>
      </w:pPr>
      <w:r w:rsidRPr="00593435">
        <w:rPr>
          <w:rFonts w:ascii="Times New Roman" w:hAnsi="Times New Roman" w:cs="Times New Roman"/>
          <w:sz w:val="24"/>
          <w:szCs w:val="24"/>
        </w:rPr>
        <w:t xml:space="preserve">Recently, the role of board gender diversity in different aspects of bank, such as bank risk-taking and bank performance, has become very topical in empirical studies. This paper examines the impact of board gender diversity on bank efficiency, an important aspect of bank functioning but mostly has been neglected in extant studies. By employing the stochastic frontier approach and utilizing a hand-collected large dataset for 485 banks from 39 countries over the period 2004-2018, this paper finds both bank profit and cost efficiency are positively associate with more gender-diverse boards. However, the positive impact of board gender diversity on bank efficiency is significantly weakened in countries with unfavorable attitude towards working women. </w:t>
      </w:r>
    </w:p>
    <w:p w14:paraId="2DEA2738" w14:textId="77777777" w:rsidR="00442F35" w:rsidRPr="00E11612" w:rsidRDefault="00442F35" w:rsidP="00442F35">
      <w:pPr>
        <w:spacing w:before="120" w:after="0" w:line="312" w:lineRule="auto"/>
        <w:ind w:firstLine="720"/>
        <w:jc w:val="both"/>
        <w:rPr>
          <w:rFonts w:ascii="Times New Roman" w:hAnsi="Times New Roman" w:cs="Times New Roman"/>
          <w:i/>
          <w:iCs/>
          <w:sz w:val="24"/>
          <w:szCs w:val="24"/>
        </w:rPr>
      </w:pPr>
      <w:r w:rsidRPr="00E11612">
        <w:rPr>
          <w:rFonts w:ascii="Times New Roman" w:hAnsi="Times New Roman" w:cs="Times New Roman"/>
          <w:b/>
          <w:bCs/>
          <w:i/>
          <w:iCs/>
          <w:sz w:val="24"/>
          <w:szCs w:val="24"/>
        </w:rPr>
        <w:t>Key words:</w:t>
      </w:r>
      <w:r w:rsidRPr="00593435">
        <w:rPr>
          <w:rFonts w:ascii="Times New Roman" w:hAnsi="Times New Roman" w:cs="Times New Roman"/>
          <w:sz w:val="24"/>
          <w:szCs w:val="24"/>
        </w:rPr>
        <w:t xml:space="preserve"> </w:t>
      </w:r>
      <w:r w:rsidRPr="00E11612">
        <w:rPr>
          <w:rFonts w:ascii="Times New Roman" w:hAnsi="Times New Roman" w:cs="Times New Roman"/>
          <w:i/>
          <w:iCs/>
          <w:sz w:val="24"/>
          <w:szCs w:val="24"/>
        </w:rPr>
        <w:t>bank efficiency; profit efficiency; cost efficiency; board gender diversity; SFA</w:t>
      </w:r>
    </w:p>
    <w:p w14:paraId="06D4BD3D" w14:textId="1CE0BDCC" w:rsidR="00372333" w:rsidRDefault="00372333" w:rsidP="00372333">
      <w:pPr>
        <w:spacing w:before="120" w:after="0" w:line="312" w:lineRule="auto"/>
        <w:jc w:val="both"/>
        <w:rPr>
          <w:rFonts w:ascii="Times New Roman" w:hAnsi="Times New Roman" w:cs="Times New Roman"/>
          <w:sz w:val="24"/>
          <w:szCs w:val="24"/>
        </w:rPr>
      </w:pPr>
    </w:p>
    <w:p w14:paraId="646176D7" w14:textId="77777777" w:rsidR="00EC31EC" w:rsidRDefault="00EC31EC" w:rsidP="008218C1">
      <w:pPr>
        <w:spacing w:before="120" w:after="0" w:line="312" w:lineRule="auto"/>
        <w:jc w:val="both"/>
        <w:rPr>
          <w:rFonts w:ascii="Times New Roman" w:hAnsi="Times New Roman" w:cs="Times New Roman"/>
          <w:color w:val="333333"/>
          <w:sz w:val="24"/>
          <w:szCs w:val="24"/>
        </w:rPr>
      </w:pPr>
    </w:p>
    <w:p w14:paraId="139EE2A8" w14:textId="77777777" w:rsidR="00372333" w:rsidRPr="00372333" w:rsidRDefault="00372333" w:rsidP="008218C1">
      <w:pPr>
        <w:spacing w:before="120" w:after="0" w:line="312" w:lineRule="auto"/>
        <w:jc w:val="both"/>
        <w:rPr>
          <w:rFonts w:ascii="Times New Roman" w:hAnsi="Times New Roman" w:cs="Times New Roman"/>
          <w:color w:val="333333"/>
          <w:sz w:val="24"/>
          <w:szCs w:val="24"/>
        </w:rPr>
      </w:pPr>
    </w:p>
    <w:p w14:paraId="0A1908F9" w14:textId="5E741478" w:rsidR="00EC31EC" w:rsidRDefault="00906EA2" w:rsidP="008218C1">
      <w:pPr>
        <w:spacing w:before="120" w:after="0" w:line="312" w:lineRule="auto"/>
        <w:jc w:val="both"/>
        <w:rPr>
          <w:rFonts w:ascii="Times New Roman" w:hAnsi="Times New Roman" w:cs="Times New Roman"/>
          <w:sz w:val="24"/>
          <w:szCs w:val="24"/>
        </w:rPr>
      </w:pPr>
      <w:proofErr w:type="spellStart"/>
      <w:r w:rsidRPr="00906EA2">
        <w:rPr>
          <w:rFonts w:ascii="Times New Roman" w:hAnsi="Times New Roman" w:cs="Times New Roman"/>
          <w:sz w:val="24"/>
          <w:szCs w:val="24"/>
        </w:rPr>
        <w:t>Họ</w:t>
      </w:r>
      <w:proofErr w:type="spellEnd"/>
      <w:r w:rsidRPr="00906EA2">
        <w:rPr>
          <w:rFonts w:ascii="Times New Roman" w:hAnsi="Times New Roman" w:cs="Times New Roman"/>
          <w:sz w:val="24"/>
          <w:szCs w:val="24"/>
        </w:rPr>
        <w:t xml:space="preserve"> </w:t>
      </w:r>
      <w:proofErr w:type="spellStart"/>
      <w:r w:rsidRPr="00906EA2">
        <w:rPr>
          <w:rFonts w:ascii="Times New Roman" w:hAnsi="Times New Roman" w:cs="Times New Roman"/>
          <w:sz w:val="24"/>
          <w:szCs w:val="24"/>
        </w:rPr>
        <w:t>tên</w:t>
      </w:r>
      <w:proofErr w:type="spellEnd"/>
      <w:r w:rsidRPr="00906EA2">
        <w:rPr>
          <w:rFonts w:ascii="Times New Roman" w:hAnsi="Times New Roman" w:cs="Times New Roman"/>
          <w:sz w:val="24"/>
          <w:szCs w:val="24"/>
        </w:rPr>
        <w:t>:</w:t>
      </w:r>
      <w:r>
        <w:rPr>
          <w:rFonts w:ascii="Times New Roman" w:hAnsi="Times New Roman" w:cs="Times New Roman"/>
          <w:sz w:val="24"/>
          <w:szCs w:val="24"/>
        </w:rPr>
        <w:t xml:space="preserve"> </w:t>
      </w:r>
      <w:r w:rsidRPr="00906EA2">
        <w:rPr>
          <w:rFonts w:ascii="Times New Roman" w:hAnsi="Times New Roman" w:cs="Times New Roman"/>
          <w:sz w:val="24"/>
          <w:szCs w:val="24"/>
        </w:rPr>
        <w:t xml:space="preserve">Hoàng </w:t>
      </w:r>
      <w:proofErr w:type="spellStart"/>
      <w:r w:rsidRPr="00906EA2">
        <w:rPr>
          <w:rFonts w:ascii="Times New Roman" w:hAnsi="Times New Roman" w:cs="Times New Roman"/>
          <w:sz w:val="24"/>
          <w:szCs w:val="24"/>
        </w:rPr>
        <w:t>Thị</w:t>
      </w:r>
      <w:proofErr w:type="spellEnd"/>
      <w:r w:rsidRPr="00906EA2">
        <w:rPr>
          <w:rFonts w:ascii="Times New Roman" w:hAnsi="Times New Roman" w:cs="Times New Roman"/>
          <w:sz w:val="24"/>
          <w:szCs w:val="24"/>
        </w:rPr>
        <w:t xml:space="preserve"> Mai Anh</w:t>
      </w:r>
    </w:p>
    <w:p w14:paraId="5C849E4C" w14:textId="351963F7" w:rsidR="00906EA2" w:rsidRDefault="00906EA2" w:rsidP="008218C1">
      <w:pPr>
        <w:spacing w:before="120" w:after="0" w:line="312" w:lineRule="auto"/>
        <w:jc w:val="both"/>
        <w:rPr>
          <w:rFonts w:ascii="Times New Roman" w:hAnsi="Times New Roman" w:cs="Times New Roman"/>
          <w:sz w:val="24"/>
          <w:szCs w:val="24"/>
        </w:rPr>
      </w:pPr>
      <w:proofErr w:type="spellStart"/>
      <w:r>
        <w:rPr>
          <w:rFonts w:ascii="Times New Roman" w:hAnsi="Times New Roman" w:cs="Times New Roman"/>
          <w:sz w:val="24"/>
          <w:szCs w:val="24"/>
        </w:rPr>
        <w:t>Học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hàm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học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tiến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sĩ</w:t>
      </w:r>
      <w:proofErr w:type="spellEnd"/>
    </w:p>
    <w:p w14:paraId="07A0AB34" w14:textId="7C797A86" w:rsidR="00906EA2" w:rsidRDefault="00906EA2" w:rsidP="00906EA2">
      <w:pPr>
        <w:spacing w:before="120" w:after="0" w:line="312" w:lineRule="auto"/>
        <w:jc w:val="both"/>
        <w:rPr>
          <w:rFonts w:ascii="Times New Roman" w:hAnsi="Times New Roman" w:cs="Times New Roman"/>
          <w:sz w:val="24"/>
          <w:szCs w:val="24"/>
        </w:rPr>
      </w:pPr>
      <w:proofErr w:type="spellStart"/>
      <w:r>
        <w:rPr>
          <w:rFonts w:ascii="Times New Roman" w:hAnsi="Times New Roman" w:cs="Times New Roman"/>
          <w:sz w:val="24"/>
          <w:szCs w:val="24"/>
        </w:rPr>
        <w:t>Chuyên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ngành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Tài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chính</w:t>
      </w:r>
      <w:proofErr w:type="spellEnd"/>
      <w:r>
        <w:rPr>
          <w:rFonts w:ascii="Times New Roman" w:hAnsi="Times New Roman" w:cs="Times New Roman"/>
          <w:sz w:val="24"/>
          <w:szCs w:val="24"/>
        </w:rPr>
        <w:t>- Ngân hang</w:t>
      </w:r>
    </w:p>
    <w:p w14:paraId="6EE3610F" w14:textId="56D96568" w:rsidR="00906EA2" w:rsidRDefault="005A6FE3" w:rsidP="00906EA2">
      <w:pPr>
        <w:spacing w:before="120" w:after="0" w:line="312" w:lineRule="auto"/>
        <w:jc w:val="both"/>
        <w:rPr>
          <w:rFonts w:ascii="Times New Roman" w:hAnsi="Times New Roman" w:cs="Times New Roman"/>
          <w:sz w:val="24"/>
          <w:szCs w:val="24"/>
        </w:rPr>
      </w:pPr>
      <w:proofErr w:type="spellStart"/>
      <w:r>
        <w:rPr>
          <w:rFonts w:ascii="Times New Roman" w:hAnsi="Times New Roman" w:cs="Times New Roman"/>
          <w:sz w:val="24"/>
          <w:szCs w:val="24"/>
        </w:rPr>
        <w:t>Nơi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công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tác</w:t>
      </w:r>
      <w:proofErr w:type="spellEnd"/>
      <w:r>
        <w:rPr>
          <w:rFonts w:ascii="Times New Roman" w:hAnsi="Times New Roman" w:cs="Times New Roman"/>
          <w:sz w:val="24"/>
          <w:szCs w:val="24"/>
        </w:rPr>
        <w:t xml:space="preserve">: Khoa </w:t>
      </w:r>
      <w:proofErr w:type="spellStart"/>
      <w:r>
        <w:rPr>
          <w:rFonts w:ascii="Times New Roman" w:hAnsi="Times New Roman" w:cs="Times New Roman"/>
          <w:sz w:val="24"/>
          <w:szCs w:val="24"/>
        </w:rPr>
        <w:t>Kinh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và</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quản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Đại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học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Thủy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Lợi</w:t>
      </w:r>
      <w:proofErr w:type="spellEnd"/>
    </w:p>
    <w:p w14:paraId="3759CF43" w14:textId="70A39513" w:rsidR="005A6FE3" w:rsidRDefault="005A6FE3" w:rsidP="00906EA2">
      <w:pPr>
        <w:spacing w:before="120" w:after="0" w:line="312" w:lineRule="auto"/>
        <w:jc w:val="both"/>
        <w:rPr>
          <w:rFonts w:ascii="Times New Roman" w:hAnsi="Times New Roman" w:cs="Times New Roman"/>
          <w:sz w:val="24"/>
          <w:szCs w:val="24"/>
        </w:rPr>
      </w:pPr>
      <w:proofErr w:type="spellStart"/>
      <w:r>
        <w:rPr>
          <w:rFonts w:ascii="Times New Roman" w:hAnsi="Times New Roman" w:cs="Times New Roman"/>
          <w:sz w:val="24"/>
          <w:szCs w:val="24"/>
        </w:rPr>
        <w:t>Số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điện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thoại</w:t>
      </w:r>
      <w:proofErr w:type="spellEnd"/>
      <w:r>
        <w:rPr>
          <w:rFonts w:ascii="Times New Roman" w:hAnsi="Times New Roman" w:cs="Times New Roman"/>
          <w:sz w:val="24"/>
          <w:szCs w:val="24"/>
        </w:rPr>
        <w:t>: 0922382319</w:t>
      </w:r>
    </w:p>
    <w:p w14:paraId="27889171" w14:textId="61F3A015" w:rsidR="005A6FE3" w:rsidRPr="00906EA2" w:rsidRDefault="005A6FE3" w:rsidP="00906EA2">
      <w:pPr>
        <w:spacing w:before="120" w:after="0" w:line="312" w:lineRule="auto"/>
        <w:jc w:val="both"/>
        <w:rPr>
          <w:rFonts w:ascii="Times New Roman" w:hAnsi="Times New Roman" w:cs="Times New Roman"/>
          <w:sz w:val="24"/>
          <w:szCs w:val="24"/>
        </w:rPr>
      </w:pPr>
      <w:r>
        <w:rPr>
          <w:rFonts w:ascii="Times New Roman" w:hAnsi="Times New Roman" w:cs="Times New Roman"/>
          <w:sz w:val="24"/>
          <w:szCs w:val="24"/>
        </w:rPr>
        <w:t>Email: 0922382319</w:t>
      </w:r>
    </w:p>
    <w:sectPr w:rsidR="005A6FE3" w:rsidRPr="00906EA2" w:rsidSect="00DE29AF">
      <w:footerReference w:type="default" r:id="rId18"/>
      <w:pgSz w:w="12240" w:h="15840"/>
      <w:pgMar w:top="1152" w:right="1152" w:bottom="1152" w:left="1728"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7B780" w14:textId="77777777" w:rsidR="00652483" w:rsidRDefault="00652483" w:rsidP="00593435">
      <w:pPr>
        <w:spacing w:after="0" w:line="240" w:lineRule="auto"/>
      </w:pPr>
      <w:r>
        <w:separator/>
      </w:r>
    </w:p>
  </w:endnote>
  <w:endnote w:type="continuationSeparator" w:id="0">
    <w:p w14:paraId="69748B2A" w14:textId="77777777" w:rsidR="00652483" w:rsidRDefault="00652483" w:rsidP="00593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498811"/>
      <w:docPartObj>
        <w:docPartGallery w:val="Page Numbers (Bottom of Page)"/>
        <w:docPartUnique/>
      </w:docPartObj>
    </w:sdtPr>
    <w:sdtEndPr>
      <w:rPr>
        <w:noProof/>
      </w:rPr>
    </w:sdtEndPr>
    <w:sdtContent>
      <w:p w14:paraId="7008205C" w14:textId="25C92B6A" w:rsidR="00593435" w:rsidRDefault="005934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A0F24F" w14:textId="77777777" w:rsidR="00593435" w:rsidRDefault="00593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07A4B" w14:textId="77777777" w:rsidR="00652483" w:rsidRDefault="00652483" w:rsidP="00593435">
      <w:pPr>
        <w:spacing w:after="0" w:line="240" w:lineRule="auto"/>
      </w:pPr>
      <w:r>
        <w:separator/>
      </w:r>
    </w:p>
  </w:footnote>
  <w:footnote w:type="continuationSeparator" w:id="0">
    <w:p w14:paraId="2824B09E" w14:textId="77777777" w:rsidR="00652483" w:rsidRDefault="00652483" w:rsidP="00593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18FF"/>
    <w:multiLevelType w:val="multilevel"/>
    <w:tmpl w:val="235C068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28C1581"/>
    <w:multiLevelType w:val="hybridMultilevel"/>
    <w:tmpl w:val="C33A0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772F9C"/>
    <w:multiLevelType w:val="multilevel"/>
    <w:tmpl w:val="646AC0F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551944"/>
    <w:multiLevelType w:val="multilevel"/>
    <w:tmpl w:val="E34A30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BF30B8B"/>
    <w:multiLevelType w:val="multilevel"/>
    <w:tmpl w:val="0640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824149"/>
    <w:multiLevelType w:val="multilevel"/>
    <w:tmpl w:val="E34A30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37619204">
    <w:abstractNumId w:val="5"/>
  </w:num>
  <w:num w:numId="2" w16cid:durableId="1961260697">
    <w:abstractNumId w:val="3"/>
  </w:num>
  <w:num w:numId="3" w16cid:durableId="1755474486">
    <w:abstractNumId w:val="1"/>
  </w:num>
  <w:num w:numId="4" w16cid:durableId="1136605567">
    <w:abstractNumId w:val="4"/>
  </w:num>
  <w:num w:numId="5" w16cid:durableId="1708797819">
    <w:abstractNumId w:val="2"/>
  </w:num>
  <w:num w:numId="6" w16cid:durableId="1263418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D2"/>
    <w:rsid w:val="00012BF7"/>
    <w:rsid w:val="000A53C8"/>
    <w:rsid w:val="000F7DEA"/>
    <w:rsid w:val="00162D81"/>
    <w:rsid w:val="00172219"/>
    <w:rsid w:val="001E1EF4"/>
    <w:rsid w:val="001E5BEB"/>
    <w:rsid w:val="001F266F"/>
    <w:rsid w:val="0021615C"/>
    <w:rsid w:val="00224961"/>
    <w:rsid w:val="0023386C"/>
    <w:rsid w:val="00261060"/>
    <w:rsid w:val="002643AA"/>
    <w:rsid w:val="00265FC1"/>
    <w:rsid w:val="002A35C2"/>
    <w:rsid w:val="002B218A"/>
    <w:rsid w:val="002C7B1B"/>
    <w:rsid w:val="003030A2"/>
    <w:rsid w:val="00310084"/>
    <w:rsid w:val="00343EE3"/>
    <w:rsid w:val="00372333"/>
    <w:rsid w:val="003E074E"/>
    <w:rsid w:val="003E5CFF"/>
    <w:rsid w:val="0042537A"/>
    <w:rsid w:val="00442F35"/>
    <w:rsid w:val="00455957"/>
    <w:rsid w:val="004F70F8"/>
    <w:rsid w:val="0053057C"/>
    <w:rsid w:val="00530F24"/>
    <w:rsid w:val="00545904"/>
    <w:rsid w:val="005559EA"/>
    <w:rsid w:val="0056798E"/>
    <w:rsid w:val="00584F74"/>
    <w:rsid w:val="00593435"/>
    <w:rsid w:val="005A66A1"/>
    <w:rsid w:val="005A6FE3"/>
    <w:rsid w:val="005D6275"/>
    <w:rsid w:val="00610D29"/>
    <w:rsid w:val="006434A3"/>
    <w:rsid w:val="00652483"/>
    <w:rsid w:val="00675A42"/>
    <w:rsid w:val="006824AF"/>
    <w:rsid w:val="00691A28"/>
    <w:rsid w:val="006D5CC8"/>
    <w:rsid w:val="00730C82"/>
    <w:rsid w:val="00736FF9"/>
    <w:rsid w:val="0078559F"/>
    <w:rsid w:val="007B49BE"/>
    <w:rsid w:val="008218C1"/>
    <w:rsid w:val="00822CA5"/>
    <w:rsid w:val="00826C26"/>
    <w:rsid w:val="00844F1B"/>
    <w:rsid w:val="00856C9D"/>
    <w:rsid w:val="00871545"/>
    <w:rsid w:val="00872F42"/>
    <w:rsid w:val="008744D2"/>
    <w:rsid w:val="00891017"/>
    <w:rsid w:val="00897F13"/>
    <w:rsid w:val="008A7BBF"/>
    <w:rsid w:val="00901233"/>
    <w:rsid w:val="0090385D"/>
    <w:rsid w:val="00906EA2"/>
    <w:rsid w:val="00973DEA"/>
    <w:rsid w:val="009D0821"/>
    <w:rsid w:val="009D5537"/>
    <w:rsid w:val="00A04094"/>
    <w:rsid w:val="00A07615"/>
    <w:rsid w:val="00A510C8"/>
    <w:rsid w:val="00A86CA6"/>
    <w:rsid w:val="00B01AE3"/>
    <w:rsid w:val="00B32056"/>
    <w:rsid w:val="00B419E1"/>
    <w:rsid w:val="00BB060B"/>
    <w:rsid w:val="00BD24FF"/>
    <w:rsid w:val="00C0110C"/>
    <w:rsid w:val="00C1008C"/>
    <w:rsid w:val="00C139CF"/>
    <w:rsid w:val="00C53330"/>
    <w:rsid w:val="00C67C35"/>
    <w:rsid w:val="00C75B9B"/>
    <w:rsid w:val="00CD1220"/>
    <w:rsid w:val="00CE2715"/>
    <w:rsid w:val="00D042FA"/>
    <w:rsid w:val="00D064B4"/>
    <w:rsid w:val="00D177F5"/>
    <w:rsid w:val="00D517B2"/>
    <w:rsid w:val="00D828BE"/>
    <w:rsid w:val="00DA3F40"/>
    <w:rsid w:val="00DB7A58"/>
    <w:rsid w:val="00DE29AF"/>
    <w:rsid w:val="00E04E86"/>
    <w:rsid w:val="00E11612"/>
    <w:rsid w:val="00E13F18"/>
    <w:rsid w:val="00E20254"/>
    <w:rsid w:val="00E26604"/>
    <w:rsid w:val="00E376F5"/>
    <w:rsid w:val="00E716DB"/>
    <w:rsid w:val="00EB51F1"/>
    <w:rsid w:val="00EC31EC"/>
    <w:rsid w:val="00EC79F8"/>
    <w:rsid w:val="00EE5266"/>
    <w:rsid w:val="00FA7755"/>
    <w:rsid w:val="00FE6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83A74"/>
  <w15:chartTrackingRefBased/>
  <w15:docId w15:val="{BCC18A83-C918-4E1D-B0A2-29383BFF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0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10D29"/>
    <w:rPr>
      <w:rFonts w:ascii="Courier New" w:eastAsia="Times New Roman" w:hAnsi="Courier New" w:cs="Courier New"/>
      <w:sz w:val="20"/>
      <w:szCs w:val="20"/>
    </w:rPr>
  </w:style>
  <w:style w:type="character" w:customStyle="1" w:styleId="y2iqfc">
    <w:name w:val="y2iqfc"/>
    <w:basedOn w:val="DefaultParagraphFont"/>
    <w:rsid w:val="00610D29"/>
  </w:style>
  <w:style w:type="paragraph" w:styleId="ListParagraph">
    <w:name w:val="List Paragraph"/>
    <w:basedOn w:val="Normal"/>
    <w:uiPriority w:val="34"/>
    <w:qFormat/>
    <w:rsid w:val="004F70F8"/>
    <w:pPr>
      <w:ind w:left="720"/>
      <w:contextualSpacing/>
    </w:pPr>
  </w:style>
  <w:style w:type="character" w:styleId="PlaceholderText">
    <w:name w:val="Placeholder Text"/>
    <w:basedOn w:val="DefaultParagraphFont"/>
    <w:uiPriority w:val="99"/>
    <w:semiHidden/>
    <w:rsid w:val="00FE6206"/>
    <w:rPr>
      <w:color w:val="808080"/>
    </w:rPr>
  </w:style>
  <w:style w:type="table" w:styleId="TableGrid">
    <w:name w:val="Table Grid"/>
    <w:basedOn w:val="TableNormal"/>
    <w:uiPriority w:val="59"/>
    <w:rsid w:val="00826C2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6C26"/>
    <w:rPr>
      <w:color w:val="0000FF"/>
      <w:u w:val="single"/>
    </w:rPr>
  </w:style>
  <w:style w:type="character" w:styleId="CommentReference">
    <w:name w:val="annotation reference"/>
    <w:basedOn w:val="DefaultParagraphFont"/>
    <w:uiPriority w:val="99"/>
    <w:semiHidden/>
    <w:unhideWhenUsed/>
    <w:rsid w:val="00826C26"/>
    <w:rPr>
      <w:sz w:val="16"/>
      <w:szCs w:val="16"/>
    </w:rPr>
  </w:style>
  <w:style w:type="paragraph" w:styleId="CommentText">
    <w:name w:val="annotation text"/>
    <w:basedOn w:val="Normal"/>
    <w:link w:val="CommentTextChar"/>
    <w:uiPriority w:val="99"/>
    <w:semiHidden/>
    <w:unhideWhenUsed/>
    <w:rsid w:val="00826C26"/>
    <w:pPr>
      <w:spacing w:after="20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826C26"/>
    <w:rPr>
      <w:rFonts w:eastAsiaTheme="minorHAnsi"/>
      <w:sz w:val="20"/>
      <w:szCs w:val="20"/>
      <w:lang w:eastAsia="en-US"/>
    </w:rPr>
  </w:style>
  <w:style w:type="character" w:styleId="UnresolvedMention">
    <w:name w:val="Unresolved Mention"/>
    <w:basedOn w:val="DefaultParagraphFont"/>
    <w:uiPriority w:val="99"/>
    <w:semiHidden/>
    <w:unhideWhenUsed/>
    <w:rsid w:val="00162D81"/>
    <w:rPr>
      <w:color w:val="605E5C"/>
      <w:shd w:val="clear" w:color="auto" w:fill="E1DFDD"/>
    </w:rPr>
  </w:style>
  <w:style w:type="paragraph" w:customStyle="1" w:styleId="EndNoteBibliography">
    <w:name w:val="EndNote Bibliography"/>
    <w:basedOn w:val="Normal"/>
    <w:link w:val="EndNoteBibliographyChar"/>
    <w:rsid w:val="00897F13"/>
    <w:pPr>
      <w:spacing w:after="200" w:line="240" w:lineRule="auto"/>
    </w:pPr>
    <w:rPr>
      <w:rFonts w:ascii="Calibri" w:eastAsiaTheme="minorHAnsi" w:hAnsi="Calibri" w:cs="Calibri"/>
      <w:noProof/>
      <w:lang w:eastAsia="en-US"/>
    </w:rPr>
  </w:style>
  <w:style w:type="character" w:customStyle="1" w:styleId="EndNoteBibliographyChar">
    <w:name w:val="EndNote Bibliography Char"/>
    <w:basedOn w:val="DefaultParagraphFont"/>
    <w:link w:val="EndNoteBibliography"/>
    <w:rsid w:val="00897F13"/>
    <w:rPr>
      <w:rFonts w:ascii="Calibri" w:eastAsiaTheme="minorHAnsi" w:hAnsi="Calibri" w:cs="Calibri"/>
      <w:noProof/>
      <w:lang w:eastAsia="en-US"/>
    </w:rPr>
  </w:style>
  <w:style w:type="character" w:styleId="Emphasis">
    <w:name w:val="Emphasis"/>
    <w:basedOn w:val="DefaultParagraphFont"/>
    <w:uiPriority w:val="20"/>
    <w:qFormat/>
    <w:rsid w:val="00545904"/>
    <w:rPr>
      <w:i/>
      <w:iCs/>
    </w:rPr>
  </w:style>
  <w:style w:type="paragraph" w:styleId="Header">
    <w:name w:val="header"/>
    <w:basedOn w:val="Normal"/>
    <w:link w:val="HeaderChar"/>
    <w:uiPriority w:val="99"/>
    <w:unhideWhenUsed/>
    <w:rsid w:val="00593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435"/>
  </w:style>
  <w:style w:type="paragraph" w:styleId="Footer">
    <w:name w:val="footer"/>
    <w:basedOn w:val="Normal"/>
    <w:link w:val="FooterChar"/>
    <w:uiPriority w:val="99"/>
    <w:unhideWhenUsed/>
    <w:rsid w:val="00593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435"/>
  </w:style>
  <w:style w:type="paragraph" w:customStyle="1" w:styleId="MTDisplayEquation">
    <w:name w:val="MTDisplayEquation"/>
    <w:basedOn w:val="Normal"/>
    <w:next w:val="Normal"/>
    <w:link w:val="MTDisplayEquationChar"/>
    <w:rsid w:val="00891017"/>
    <w:pPr>
      <w:tabs>
        <w:tab w:val="center" w:pos="4680"/>
        <w:tab w:val="right" w:pos="9360"/>
      </w:tabs>
      <w:spacing w:before="60" w:after="60" w:line="240" w:lineRule="auto"/>
      <w:jc w:val="both"/>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8910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8391">
      <w:bodyDiv w:val="1"/>
      <w:marLeft w:val="0"/>
      <w:marRight w:val="0"/>
      <w:marTop w:val="0"/>
      <w:marBottom w:val="0"/>
      <w:divBdr>
        <w:top w:val="none" w:sz="0" w:space="0" w:color="auto"/>
        <w:left w:val="none" w:sz="0" w:space="0" w:color="auto"/>
        <w:bottom w:val="none" w:sz="0" w:space="0" w:color="auto"/>
        <w:right w:val="none" w:sz="0" w:space="0" w:color="auto"/>
      </w:divBdr>
    </w:div>
    <w:div w:id="256867612">
      <w:bodyDiv w:val="1"/>
      <w:marLeft w:val="0"/>
      <w:marRight w:val="0"/>
      <w:marTop w:val="0"/>
      <w:marBottom w:val="0"/>
      <w:divBdr>
        <w:top w:val="none" w:sz="0" w:space="0" w:color="auto"/>
        <w:left w:val="none" w:sz="0" w:space="0" w:color="auto"/>
        <w:bottom w:val="none" w:sz="0" w:space="0" w:color="auto"/>
        <w:right w:val="none" w:sz="0" w:space="0" w:color="auto"/>
      </w:divBdr>
    </w:div>
    <w:div w:id="640623878">
      <w:bodyDiv w:val="1"/>
      <w:marLeft w:val="0"/>
      <w:marRight w:val="0"/>
      <w:marTop w:val="0"/>
      <w:marBottom w:val="0"/>
      <w:divBdr>
        <w:top w:val="none" w:sz="0" w:space="0" w:color="auto"/>
        <w:left w:val="none" w:sz="0" w:space="0" w:color="auto"/>
        <w:bottom w:val="none" w:sz="0" w:space="0" w:color="auto"/>
        <w:right w:val="none" w:sz="0" w:space="0" w:color="auto"/>
      </w:divBdr>
    </w:div>
    <w:div w:id="692539947">
      <w:bodyDiv w:val="1"/>
      <w:marLeft w:val="0"/>
      <w:marRight w:val="0"/>
      <w:marTop w:val="0"/>
      <w:marBottom w:val="0"/>
      <w:divBdr>
        <w:top w:val="none" w:sz="0" w:space="0" w:color="auto"/>
        <w:left w:val="none" w:sz="0" w:space="0" w:color="auto"/>
        <w:bottom w:val="none" w:sz="0" w:space="0" w:color="auto"/>
        <w:right w:val="none" w:sz="0" w:space="0" w:color="auto"/>
      </w:divBdr>
    </w:div>
    <w:div w:id="828518172">
      <w:bodyDiv w:val="1"/>
      <w:marLeft w:val="0"/>
      <w:marRight w:val="0"/>
      <w:marTop w:val="0"/>
      <w:marBottom w:val="0"/>
      <w:divBdr>
        <w:top w:val="none" w:sz="0" w:space="0" w:color="auto"/>
        <w:left w:val="none" w:sz="0" w:space="0" w:color="auto"/>
        <w:bottom w:val="none" w:sz="0" w:space="0" w:color="auto"/>
        <w:right w:val="none" w:sz="0" w:space="0" w:color="auto"/>
      </w:divBdr>
    </w:div>
    <w:div w:id="945115967">
      <w:bodyDiv w:val="1"/>
      <w:marLeft w:val="0"/>
      <w:marRight w:val="0"/>
      <w:marTop w:val="0"/>
      <w:marBottom w:val="0"/>
      <w:divBdr>
        <w:top w:val="none" w:sz="0" w:space="0" w:color="auto"/>
        <w:left w:val="none" w:sz="0" w:space="0" w:color="auto"/>
        <w:bottom w:val="none" w:sz="0" w:space="0" w:color="auto"/>
        <w:right w:val="none" w:sz="0" w:space="0" w:color="auto"/>
      </w:divBdr>
    </w:div>
    <w:div w:id="1166703726">
      <w:bodyDiv w:val="1"/>
      <w:marLeft w:val="0"/>
      <w:marRight w:val="0"/>
      <w:marTop w:val="0"/>
      <w:marBottom w:val="0"/>
      <w:divBdr>
        <w:top w:val="none" w:sz="0" w:space="0" w:color="auto"/>
        <w:left w:val="none" w:sz="0" w:space="0" w:color="auto"/>
        <w:bottom w:val="none" w:sz="0" w:space="0" w:color="auto"/>
        <w:right w:val="none" w:sz="0" w:space="0" w:color="auto"/>
      </w:divBdr>
    </w:div>
    <w:div w:id="1251475512">
      <w:bodyDiv w:val="1"/>
      <w:marLeft w:val="0"/>
      <w:marRight w:val="0"/>
      <w:marTop w:val="0"/>
      <w:marBottom w:val="0"/>
      <w:divBdr>
        <w:top w:val="none" w:sz="0" w:space="0" w:color="auto"/>
        <w:left w:val="none" w:sz="0" w:space="0" w:color="auto"/>
        <w:bottom w:val="none" w:sz="0" w:space="0" w:color="auto"/>
        <w:right w:val="none" w:sz="0" w:space="0" w:color="auto"/>
      </w:divBdr>
    </w:div>
    <w:div w:id="1255701385">
      <w:bodyDiv w:val="1"/>
      <w:marLeft w:val="0"/>
      <w:marRight w:val="0"/>
      <w:marTop w:val="0"/>
      <w:marBottom w:val="0"/>
      <w:divBdr>
        <w:top w:val="none" w:sz="0" w:space="0" w:color="auto"/>
        <w:left w:val="none" w:sz="0" w:space="0" w:color="auto"/>
        <w:bottom w:val="none" w:sz="0" w:space="0" w:color="auto"/>
        <w:right w:val="none" w:sz="0" w:space="0" w:color="auto"/>
      </w:divBdr>
    </w:div>
    <w:div w:id="1450006739">
      <w:bodyDiv w:val="1"/>
      <w:marLeft w:val="0"/>
      <w:marRight w:val="0"/>
      <w:marTop w:val="0"/>
      <w:marBottom w:val="0"/>
      <w:divBdr>
        <w:top w:val="none" w:sz="0" w:space="0" w:color="auto"/>
        <w:left w:val="none" w:sz="0" w:space="0" w:color="auto"/>
        <w:bottom w:val="none" w:sz="0" w:space="0" w:color="auto"/>
        <w:right w:val="none" w:sz="0" w:space="0" w:color="auto"/>
      </w:divBdr>
    </w:div>
    <w:div w:id="1526018108">
      <w:bodyDiv w:val="1"/>
      <w:marLeft w:val="0"/>
      <w:marRight w:val="0"/>
      <w:marTop w:val="0"/>
      <w:marBottom w:val="0"/>
      <w:divBdr>
        <w:top w:val="none" w:sz="0" w:space="0" w:color="auto"/>
        <w:left w:val="none" w:sz="0" w:space="0" w:color="auto"/>
        <w:bottom w:val="none" w:sz="0" w:space="0" w:color="auto"/>
        <w:right w:val="none" w:sz="0" w:space="0" w:color="auto"/>
      </w:divBdr>
    </w:div>
    <w:div w:id="1531870833">
      <w:bodyDiv w:val="1"/>
      <w:marLeft w:val="0"/>
      <w:marRight w:val="0"/>
      <w:marTop w:val="0"/>
      <w:marBottom w:val="0"/>
      <w:divBdr>
        <w:top w:val="none" w:sz="0" w:space="0" w:color="auto"/>
        <w:left w:val="none" w:sz="0" w:space="0" w:color="auto"/>
        <w:bottom w:val="none" w:sz="0" w:space="0" w:color="auto"/>
        <w:right w:val="none" w:sz="0" w:space="0" w:color="auto"/>
      </w:divBdr>
    </w:div>
    <w:div w:id="1580823397">
      <w:bodyDiv w:val="1"/>
      <w:marLeft w:val="0"/>
      <w:marRight w:val="0"/>
      <w:marTop w:val="0"/>
      <w:marBottom w:val="0"/>
      <w:divBdr>
        <w:top w:val="none" w:sz="0" w:space="0" w:color="auto"/>
        <w:left w:val="none" w:sz="0" w:space="0" w:color="auto"/>
        <w:bottom w:val="none" w:sz="0" w:space="0" w:color="auto"/>
        <w:right w:val="none" w:sz="0" w:space="0" w:color="auto"/>
      </w:divBdr>
    </w:div>
    <w:div w:id="1690595241">
      <w:bodyDiv w:val="1"/>
      <w:marLeft w:val="0"/>
      <w:marRight w:val="0"/>
      <w:marTop w:val="0"/>
      <w:marBottom w:val="0"/>
      <w:divBdr>
        <w:top w:val="none" w:sz="0" w:space="0" w:color="auto"/>
        <w:left w:val="none" w:sz="0" w:space="0" w:color="auto"/>
        <w:bottom w:val="none" w:sz="0" w:space="0" w:color="auto"/>
        <w:right w:val="none" w:sz="0" w:space="0" w:color="auto"/>
      </w:divBdr>
      <w:divsChild>
        <w:div w:id="1190222364">
          <w:marLeft w:val="0"/>
          <w:marRight w:val="0"/>
          <w:marTop w:val="0"/>
          <w:marBottom w:val="0"/>
          <w:divBdr>
            <w:top w:val="none" w:sz="0" w:space="0" w:color="auto"/>
            <w:left w:val="none" w:sz="0" w:space="0" w:color="auto"/>
            <w:bottom w:val="none" w:sz="0" w:space="0" w:color="auto"/>
            <w:right w:val="none" w:sz="0" w:space="0" w:color="auto"/>
          </w:divBdr>
          <w:divsChild>
            <w:div w:id="1855916204">
              <w:marLeft w:val="0"/>
              <w:marRight w:val="0"/>
              <w:marTop w:val="0"/>
              <w:marBottom w:val="0"/>
              <w:divBdr>
                <w:top w:val="none" w:sz="0" w:space="0" w:color="auto"/>
                <w:left w:val="none" w:sz="0" w:space="0" w:color="auto"/>
                <w:bottom w:val="none" w:sz="0" w:space="0" w:color="auto"/>
                <w:right w:val="none" w:sz="0" w:space="0" w:color="auto"/>
              </w:divBdr>
              <w:divsChild>
                <w:div w:id="253520192">
                  <w:marLeft w:val="0"/>
                  <w:marRight w:val="0"/>
                  <w:marTop w:val="0"/>
                  <w:marBottom w:val="0"/>
                  <w:divBdr>
                    <w:top w:val="none" w:sz="0" w:space="0" w:color="auto"/>
                    <w:left w:val="none" w:sz="0" w:space="0" w:color="auto"/>
                    <w:bottom w:val="none" w:sz="0" w:space="0" w:color="auto"/>
                    <w:right w:val="none" w:sz="0" w:space="0" w:color="auto"/>
                  </w:divBdr>
                  <w:divsChild>
                    <w:div w:id="2074769600">
                      <w:marLeft w:val="0"/>
                      <w:marRight w:val="0"/>
                      <w:marTop w:val="0"/>
                      <w:marBottom w:val="0"/>
                      <w:divBdr>
                        <w:top w:val="none" w:sz="0" w:space="0" w:color="auto"/>
                        <w:left w:val="none" w:sz="0" w:space="0" w:color="auto"/>
                        <w:bottom w:val="none" w:sz="0" w:space="0" w:color="auto"/>
                        <w:right w:val="none" w:sz="0" w:space="0" w:color="auto"/>
                      </w:divBdr>
                      <w:divsChild>
                        <w:div w:id="1524712749">
                          <w:marLeft w:val="0"/>
                          <w:marRight w:val="0"/>
                          <w:marTop w:val="0"/>
                          <w:marBottom w:val="0"/>
                          <w:divBdr>
                            <w:top w:val="none" w:sz="0" w:space="0" w:color="auto"/>
                            <w:left w:val="none" w:sz="0" w:space="0" w:color="auto"/>
                            <w:bottom w:val="none" w:sz="0" w:space="0" w:color="auto"/>
                            <w:right w:val="none" w:sz="0" w:space="0" w:color="auto"/>
                          </w:divBdr>
                          <w:divsChild>
                            <w:div w:id="874267982">
                              <w:marLeft w:val="0"/>
                              <w:marRight w:val="0"/>
                              <w:marTop w:val="0"/>
                              <w:marBottom w:val="0"/>
                              <w:divBdr>
                                <w:top w:val="none" w:sz="0" w:space="0" w:color="auto"/>
                                <w:left w:val="none" w:sz="0" w:space="0" w:color="auto"/>
                                <w:bottom w:val="none" w:sz="0" w:space="0" w:color="auto"/>
                                <w:right w:val="none" w:sz="0" w:space="0" w:color="auto"/>
                              </w:divBdr>
                              <w:divsChild>
                                <w:div w:id="1725563482">
                                  <w:marLeft w:val="0"/>
                                  <w:marRight w:val="0"/>
                                  <w:marTop w:val="0"/>
                                  <w:marBottom w:val="0"/>
                                  <w:divBdr>
                                    <w:top w:val="none" w:sz="0" w:space="0" w:color="auto"/>
                                    <w:left w:val="none" w:sz="0" w:space="0" w:color="auto"/>
                                    <w:bottom w:val="none" w:sz="0" w:space="0" w:color="auto"/>
                                    <w:right w:val="none" w:sz="0" w:space="0" w:color="auto"/>
                                  </w:divBdr>
                                  <w:divsChild>
                                    <w:div w:id="739790554">
                                      <w:marLeft w:val="0"/>
                                      <w:marRight w:val="0"/>
                                      <w:marTop w:val="0"/>
                                      <w:marBottom w:val="0"/>
                                      <w:divBdr>
                                        <w:top w:val="none" w:sz="0" w:space="0" w:color="auto"/>
                                        <w:left w:val="none" w:sz="0" w:space="0" w:color="auto"/>
                                        <w:bottom w:val="none" w:sz="0" w:space="0" w:color="auto"/>
                                        <w:right w:val="none" w:sz="0" w:space="0" w:color="auto"/>
                                      </w:divBdr>
                                    </w:div>
                                    <w:div w:id="142545340">
                                      <w:marLeft w:val="0"/>
                                      <w:marRight w:val="0"/>
                                      <w:marTop w:val="0"/>
                                      <w:marBottom w:val="0"/>
                                      <w:divBdr>
                                        <w:top w:val="none" w:sz="0" w:space="0" w:color="auto"/>
                                        <w:left w:val="none" w:sz="0" w:space="0" w:color="auto"/>
                                        <w:bottom w:val="none" w:sz="0" w:space="0" w:color="auto"/>
                                        <w:right w:val="none" w:sz="0" w:space="0" w:color="auto"/>
                                      </w:divBdr>
                                      <w:divsChild>
                                        <w:div w:id="2134666855">
                                          <w:marLeft w:val="0"/>
                                          <w:marRight w:val="165"/>
                                          <w:marTop w:val="150"/>
                                          <w:marBottom w:val="0"/>
                                          <w:divBdr>
                                            <w:top w:val="none" w:sz="0" w:space="0" w:color="auto"/>
                                            <w:left w:val="none" w:sz="0" w:space="0" w:color="auto"/>
                                            <w:bottom w:val="none" w:sz="0" w:space="0" w:color="auto"/>
                                            <w:right w:val="none" w:sz="0" w:space="0" w:color="auto"/>
                                          </w:divBdr>
                                          <w:divsChild>
                                            <w:div w:id="909001959">
                                              <w:marLeft w:val="0"/>
                                              <w:marRight w:val="0"/>
                                              <w:marTop w:val="0"/>
                                              <w:marBottom w:val="0"/>
                                              <w:divBdr>
                                                <w:top w:val="none" w:sz="0" w:space="0" w:color="auto"/>
                                                <w:left w:val="none" w:sz="0" w:space="0" w:color="auto"/>
                                                <w:bottom w:val="none" w:sz="0" w:space="0" w:color="auto"/>
                                                <w:right w:val="none" w:sz="0" w:space="0" w:color="auto"/>
                                              </w:divBdr>
                                              <w:divsChild>
                                                <w:div w:id="2729832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2387004">
      <w:bodyDiv w:val="1"/>
      <w:marLeft w:val="0"/>
      <w:marRight w:val="0"/>
      <w:marTop w:val="0"/>
      <w:marBottom w:val="0"/>
      <w:divBdr>
        <w:top w:val="none" w:sz="0" w:space="0" w:color="auto"/>
        <w:left w:val="none" w:sz="0" w:space="0" w:color="auto"/>
        <w:bottom w:val="none" w:sz="0" w:space="0" w:color="auto"/>
        <w:right w:val="none" w:sz="0" w:space="0" w:color="auto"/>
      </w:divBdr>
    </w:div>
    <w:div w:id="1774740573">
      <w:bodyDiv w:val="1"/>
      <w:marLeft w:val="0"/>
      <w:marRight w:val="0"/>
      <w:marTop w:val="0"/>
      <w:marBottom w:val="0"/>
      <w:divBdr>
        <w:top w:val="none" w:sz="0" w:space="0" w:color="auto"/>
        <w:left w:val="none" w:sz="0" w:space="0" w:color="auto"/>
        <w:bottom w:val="none" w:sz="0" w:space="0" w:color="auto"/>
        <w:right w:val="none" w:sz="0" w:space="0" w:color="auto"/>
      </w:divBdr>
    </w:div>
    <w:div w:id="1894076257">
      <w:bodyDiv w:val="1"/>
      <w:marLeft w:val="0"/>
      <w:marRight w:val="0"/>
      <w:marTop w:val="0"/>
      <w:marBottom w:val="0"/>
      <w:divBdr>
        <w:top w:val="none" w:sz="0" w:space="0" w:color="auto"/>
        <w:left w:val="none" w:sz="0" w:space="0" w:color="auto"/>
        <w:bottom w:val="none" w:sz="0" w:space="0" w:color="auto"/>
        <w:right w:val="none" w:sz="0" w:space="0" w:color="auto"/>
      </w:divBdr>
    </w:div>
    <w:div w:id="2090273476">
      <w:bodyDiv w:val="1"/>
      <w:marLeft w:val="0"/>
      <w:marRight w:val="0"/>
      <w:marTop w:val="0"/>
      <w:marBottom w:val="0"/>
      <w:divBdr>
        <w:top w:val="none" w:sz="0" w:space="0" w:color="auto"/>
        <w:left w:val="none" w:sz="0" w:space="0" w:color="auto"/>
        <w:bottom w:val="none" w:sz="0" w:space="0" w:color="auto"/>
        <w:right w:val="none" w:sz="0" w:space="0" w:color="auto"/>
      </w:divBdr>
    </w:div>
    <w:div w:id="213833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hhtm@tlu.edu.vn" TargetMode="Externa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4628</Words>
  <Characters>26385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Khánh</dc:creator>
  <cp:keywords/>
  <dc:description/>
  <cp:lastModifiedBy>Ngân  Khánh</cp:lastModifiedBy>
  <cp:revision>3</cp:revision>
  <cp:lastPrinted>2023-03-15T03:13:00Z</cp:lastPrinted>
  <dcterms:created xsi:type="dcterms:W3CDTF">2023-05-15T02:39:00Z</dcterms:created>
  <dcterms:modified xsi:type="dcterms:W3CDTF">2023-05-15T02:40:00Z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