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8B4" w:rsidRPr="00625A8B" w:rsidRDefault="008438B4" w:rsidP="003244A3">
      <w:pPr>
        <w:spacing w:before="240" w:after="0"/>
        <w:ind w:left="284" w:hanging="284"/>
        <w:jc w:val="center"/>
        <w:rPr>
          <w:rFonts w:asciiTheme="majorHAnsi" w:hAnsiTheme="majorHAnsi" w:cstheme="majorHAnsi"/>
          <w:b/>
          <w:caps/>
          <w:sz w:val="28"/>
          <w:szCs w:val="28"/>
        </w:rPr>
      </w:pPr>
      <w:r w:rsidRPr="00625A8B">
        <w:rPr>
          <w:rFonts w:asciiTheme="majorHAnsi" w:hAnsiTheme="majorHAnsi" w:cstheme="majorHAnsi"/>
          <w:b/>
          <w:caps/>
          <w:sz w:val="28"/>
          <w:szCs w:val="28"/>
        </w:rPr>
        <w:t>khóa và Chi phí chuyển đổi</w:t>
      </w:r>
    </w:p>
    <w:p w:rsidR="00625A8B" w:rsidRPr="004F0517" w:rsidRDefault="00625A8B" w:rsidP="00625A8B">
      <w:pPr>
        <w:spacing w:before="120" w:after="120" w:line="312" w:lineRule="auto"/>
        <w:jc w:val="both"/>
        <w:rPr>
          <w:rFonts w:ascii="Times New Roman" w:hAnsi="Times New Roman" w:cs="Times New Roman"/>
          <w:i/>
          <w:iCs/>
          <w:sz w:val="26"/>
          <w:szCs w:val="26"/>
        </w:rPr>
      </w:pPr>
      <w:r w:rsidRPr="00625A8B">
        <w:rPr>
          <w:rFonts w:ascii="Times New Roman" w:hAnsi="Times New Roman" w:cs="Times New Roman"/>
          <w:i/>
          <w:iCs/>
          <w:sz w:val="26"/>
          <w:szCs w:val="26"/>
        </w:rPr>
        <w:tab/>
      </w:r>
      <w:r w:rsidRPr="00625A8B">
        <w:rPr>
          <w:rFonts w:ascii="Times New Roman" w:hAnsi="Times New Roman" w:cs="Times New Roman"/>
          <w:i/>
          <w:iCs/>
          <w:sz w:val="26"/>
          <w:szCs w:val="26"/>
        </w:rPr>
        <w:tab/>
      </w:r>
      <w:r w:rsidRPr="00625A8B">
        <w:rPr>
          <w:rFonts w:ascii="Times New Roman" w:hAnsi="Times New Roman" w:cs="Times New Roman"/>
          <w:i/>
          <w:iCs/>
          <w:sz w:val="26"/>
          <w:szCs w:val="26"/>
        </w:rPr>
        <w:tab/>
      </w:r>
      <w:r>
        <w:rPr>
          <w:rFonts w:ascii="Times New Roman" w:hAnsi="Times New Roman" w:cs="Times New Roman"/>
          <w:i/>
          <w:iCs/>
          <w:sz w:val="26"/>
          <w:szCs w:val="26"/>
        </w:rPr>
        <w:t xml:space="preserve"> </w:t>
      </w:r>
      <w:r w:rsidRPr="00625A8B">
        <w:rPr>
          <w:rFonts w:ascii="Times New Roman" w:hAnsi="Times New Roman" w:cs="Times New Roman"/>
          <w:i/>
          <w:iCs/>
          <w:sz w:val="26"/>
          <w:szCs w:val="26"/>
        </w:rPr>
        <w:tab/>
      </w:r>
      <w:r>
        <w:rPr>
          <w:rFonts w:ascii="Times New Roman" w:hAnsi="Times New Roman" w:cs="Times New Roman"/>
          <w:i/>
          <w:iCs/>
          <w:sz w:val="26"/>
          <w:szCs w:val="26"/>
        </w:rPr>
        <w:t xml:space="preserve">   </w:t>
      </w:r>
      <w:r w:rsidRPr="00625A8B">
        <w:rPr>
          <w:rFonts w:ascii="Times New Roman" w:hAnsi="Times New Roman" w:cs="Times New Roman"/>
          <w:i/>
          <w:iCs/>
          <w:sz w:val="26"/>
          <w:szCs w:val="26"/>
        </w:rPr>
        <w:t>PGS.</w:t>
      </w:r>
      <w:r w:rsidRPr="004F0517">
        <w:rPr>
          <w:rFonts w:ascii="Times New Roman" w:hAnsi="Times New Roman" w:cs="Times New Roman"/>
          <w:i/>
          <w:iCs/>
          <w:sz w:val="26"/>
          <w:szCs w:val="26"/>
        </w:rPr>
        <w:t xml:space="preserve">TS. </w:t>
      </w:r>
      <w:r>
        <w:rPr>
          <w:rFonts w:ascii="Times New Roman" w:hAnsi="Times New Roman" w:cs="Times New Roman"/>
          <w:i/>
          <w:iCs/>
          <w:sz w:val="26"/>
          <w:szCs w:val="26"/>
        </w:rPr>
        <w:t>Nguyễn Văn Minh</w:t>
      </w:r>
      <w:r w:rsidRPr="004F0517">
        <w:rPr>
          <w:rFonts w:ascii="Times New Roman" w:hAnsi="Times New Roman" w:cs="Times New Roman"/>
          <w:i/>
          <w:iCs/>
          <w:sz w:val="26"/>
          <w:szCs w:val="26"/>
        </w:rPr>
        <w:t>, Bộ môn Thương mại điện tử</w:t>
      </w:r>
    </w:p>
    <w:p w:rsidR="008438B4" w:rsidRPr="00625A8B" w:rsidRDefault="008438B4" w:rsidP="008438B4">
      <w:pPr>
        <w:spacing w:before="120" w:after="0"/>
        <w:jc w:val="both"/>
        <w:rPr>
          <w:rFonts w:asciiTheme="majorHAnsi" w:hAnsiTheme="majorHAnsi" w:cstheme="majorHAnsi"/>
          <w:b/>
          <w:sz w:val="26"/>
          <w:szCs w:val="26"/>
        </w:rPr>
      </w:pPr>
      <w:r w:rsidRPr="00625A8B">
        <w:rPr>
          <w:rFonts w:asciiTheme="majorHAnsi" w:hAnsiTheme="majorHAnsi" w:cstheme="majorHAnsi"/>
          <w:b/>
          <w:sz w:val="26"/>
          <w:szCs w:val="26"/>
        </w:rPr>
        <w:t>1</w:t>
      </w:r>
      <w:r w:rsidR="003244A3" w:rsidRPr="00625A8B">
        <w:rPr>
          <w:rFonts w:asciiTheme="majorHAnsi" w:hAnsiTheme="majorHAnsi" w:cstheme="majorHAnsi"/>
          <w:b/>
          <w:sz w:val="26"/>
          <w:szCs w:val="26"/>
        </w:rPr>
        <w:t>.</w:t>
      </w:r>
      <w:r w:rsidRPr="00625A8B">
        <w:rPr>
          <w:rFonts w:asciiTheme="majorHAnsi" w:hAnsiTheme="majorHAnsi" w:cstheme="majorHAnsi"/>
          <w:b/>
          <w:sz w:val="26"/>
          <w:szCs w:val="26"/>
        </w:rPr>
        <w:t xml:space="preserve"> Khái niệm</w:t>
      </w:r>
      <w:r w:rsidR="003244A3" w:rsidRPr="00625A8B">
        <w:rPr>
          <w:rFonts w:asciiTheme="majorHAnsi" w:hAnsiTheme="majorHAnsi" w:cstheme="majorHAnsi"/>
          <w:b/>
          <w:sz w:val="26"/>
          <w:szCs w:val="26"/>
        </w:rPr>
        <w:t xml:space="preserve"> </w:t>
      </w:r>
    </w:p>
    <w:p w:rsidR="003244A3"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i/>
          <w:sz w:val="26"/>
          <w:szCs w:val="26"/>
        </w:rPr>
        <w:t xml:space="preserve">Khóa (Lock-in) </w:t>
      </w:r>
      <w:r w:rsidRPr="00625A8B">
        <w:rPr>
          <w:rFonts w:asciiTheme="majorHAnsi" w:hAnsiTheme="majorHAnsi" w:cstheme="majorHAnsi"/>
          <w:sz w:val="26"/>
          <w:szCs w:val="26"/>
        </w:rPr>
        <w:t xml:space="preserve">là tập hợp tất cả các cơ chế mà một công ty có thể sử dụng để giữ khách hàng của mình bằng cách thiết lập các rào cản để ngăn khách hàng chuyển sang nhà cung cấp khác. </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Khóa có thể là</w:t>
      </w:r>
      <w:r w:rsidRPr="00625A8B">
        <w:rPr>
          <w:rFonts w:asciiTheme="majorHAnsi" w:hAnsiTheme="majorHAnsi" w:cstheme="majorHAnsi"/>
          <w:i/>
          <w:sz w:val="26"/>
          <w:szCs w:val="26"/>
        </w:rPr>
        <w:t xml:space="preserve"> khóa nhà cung cấp </w:t>
      </w:r>
      <w:r w:rsidRPr="00625A8B">
        <w:rPr>
          <w:rFonts w:asciiTheme="majorHAnsi" w:hAnsiTheme="majorHAnsi" w:cstheme="majorHAnsi"/>
          <w:sz w:val="26"/>
          <w:szCs w:val="26"/>
        </w:rPr>
        <w:t>(tập trung vào việc nhà cung cấp kích hoạt khóa</w:t>
      </w:r>
      <w:r w:rsidRPr="00625A8B">
        <w:rPr>
          <w:rFonts w:asciiTheme="majorHAnsi" w:hAnsiTheme="majorHAnsi" w:cstheme="majorHAnsi"/>
          <w:i/>
          <w:sz w:val="26"/>
          <w:szCs w:val="26"/>
        </w:rPr>
        <w:t xml:space="preserve">), khóa khách </w:t>
      </w:r>
      <w:r w:rsidRPr="00625A8B">
        <w:rPr>
          <w:rFonts w:asciiTheme="majorHAnsi" w:hAnsiTheme="majorHAnsi" w:cstheme="majorHAnsi"/>
          <w:sz w:val="26"/>
          <w:szCs w:val="26"/>
        </w:rPr>
        <w:t>hàng (tập trung vào khách hàng bị khóa)</w:t>
      </w:r>
      <w:r w:rsidRPr="00625A8B">
        <w:rPr>
          <w:rFonts w:asciiTheme="majorHAnsi" w:hAnsiTheme="majorHAnsi" w:cstheme="majorHAnsi"/>
          <w:i/>
          <w:sz w:val="26"/>
          <w:szCs w:val="26"/>
        </w:rPr>
        <w:t xml:space="preserve"> hoặc khóa độc quyền </w:t>
      </w:r>
      <w:r w:rsidRPr="00625A8B">
        <w:rPr>
          <w:rFonts w:asciiTheme="majorHAnsi" w:hAnsiTheme="majorHAnsi" w:cstheme="majorHAnsi"/>
          <w:sz w:val="26"/>
          <w:szCs w:val="26"/>
        </w:rPr>
        <w:t>(tập trung vào sản phẩm hoặc dịch vụ bị khóa).</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Ở đây sẽ sử dụng thuật ngữ khóa cho cả ba trường hợp vì chúng chỉ hiển thị các góc nhìn khác nhau đối với cùng một hiện tượng.</w:t>
      </w:r>
    </w:p>
    <w:p w:rsidR="003244A3"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Có được khách hàng mới rất tốn kém vì nó thường liên quan đến các chiến dịch marketing chuyên sâu và tốn nhiều chi phí. Do đó, nhà cung cấp phải làm bất cứ điều gì có thể để giữ chân khách hàng. </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i/>
          <w:sz w:val="26"/>
          <w:szCs w:val="26"/>
        </w:rPr>
        <w:t>Xáo trộn</w:t>
      </w:r>
      <w:r w:rsidRPr="00625A8B">
        <w:rPr>
          <w:rFonts w:asciiTheme="majorHAnsi" w:hAnsiTheme="majorHAnsi" w:cstheme="majorHAnsi"/>
          <w:sz w:val="26"/>
          <w:szCs w:val="26"/>
        </w:rPr>
        <w:t xml:space="preserve"> </w:t>
      </w:r>
      <w:r w:rsidR="003244A3" w:rsidRPr="00625A8B">
        <w:rPr>
          <w:rFonts w:asciiTheme="majorHAnsi" w:hAnsiTheme="majorHAnsi" w:cstheme="majorHAnsi"/>
          <w:sz w:val="26"/>
          <w:szCs w:val="26"/>
        </w:rPr>
        <w:t xml:space="preserve">(churning) </w:t>
      </w:r>
      <w:r w:rsidRPr="00625A8B">
        <w:rPr>
          <w:rFonts w:asciiTheme="majorHAnsi" w:hAnsiTheme="majorHAnsi" w:cstheme="majorHAnsi"/>
          <w:sz w:val="26"/>
          <w:szCs w:val="26"/>
        </w:rPr>
        <w:t>được định nghĩa là hành động khách hàng từ bỏ dịch vụ do một nhà cung cấp cung cấp để chuyển sang một dịch vụ cạnh tranh do nhà cung cấp khác cung cấp. Các nhà cung cấp muốn giảm thiểu sự xáo trộn nhiều nhất có thể bằng cách vận hành các cơ chế khóa khác nhau, chẳng hạn như bằng cách khiến người dùng chuyển sang nhà cung cấp khác phải tốn kém hoặc bất tiện.</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Lưu ý rằng khóa có thể dẫn đến độc quyền trên thực tế, chẳng hạn như trong cuộc chiến tiêu chuẩn giữa Betamax và VHS (</w:t>
      </w:r>
      <w:r w:rsidR="003244A3" w:rsidRPr="00625A8B">
        <w:rPr>
          <w:rFonts w:asciiTheme="majorHAnsi" w:hAnsiTheme="majorHAnsi" w:cstheme="majorHAnsi"/>
          <w:sz w:val="26"/>
          <w:szCs w:val="26"/>
        </w:rPr>
        <w:t>hai định dạng ghi âm băng cassete khác nhau của hai hãng điện tử Nhật Bản: Sony và Panasonic, trong đó VHS của Panasonic đã chiến thắng</w:t>
      </w:r>
      <w:r w:rsidRPr="00625A8B">
        <w:rPr>
          <w:rFonts w:asciiTheme="majorHAnsi" w:hAnsiTheme="majorHAnsi" w:cstheme="majorHAnsi"/>
          <w:sz w:val="26"/>
          <w:szCs w:val="26"/>
        </w:rPr>
        <w:t xml:space="preserve">). Khóa kết hợp với sự phụ thuộc vào đường đi cũng là lý do tại sao Facebook, chứ không phải Myspace, trở thành phương tiện mạng xã hội hàng đầu trên Internet. </w:t>
      </w:r>
      <w:r w:rsidR="00A52549">
        <w:rPr>
          <w:rFonts w:asciiTheme="majorHAnsi" w:hAnsiTheme="majorHAnsi" w:cstheme="majorHAnsi"/>
          <w:sz w:val="26"/>
          <w:szCs w:val="26"/>
        </w:rPr>
        <w:t>Hệ quả</w:t>
      </w:r>
      <w:r w:rsidRPr="00625A8B">
        <w:rPr>
          <w:rFonts w:asciiTheme="majorHAnsi" w:hAnsiTheme="majorHAnsi" w:cstheme="majorHAnsi"/>
          <w:sz w:val="26"/>
          <w:szCs w:val="26"/>
        </w:rPr>
        <w:t xml:space="preserve"> là mức độ khóa đối với một dịch vụ số ảnh hưởng đáng kể đến sự phát triển của thị phần, cạnh tranh và sự hình thành của các công ty độc quyền.</w:t>
      </w:r>
    </w:p>
    <w:p w:rsidR="008438B4" w:rsidRPr="00625A8B" w:rsidRDefault="008438B4" w:rsidP="0079060C">
      <w:pPr>
        <w:spacing w:before="120" w:after="0"/>
        <w:ind w:firstLine="567"/>
        <w:jc w:val="both"/>
        <w:rPr>
          <w:rFonts w:asciiTheme="majorHAnsi" w:hAnsiTheme="majorHAnsi" w:cstheme="majorHAnsi"/>
          <w:i/>
          <w:sz w:val="26"/>
          <w:szCs w:val="26"/>
        </w:rPr>
      </w:pPr>
      <w:r w:rsidRPr="00625A8B">
        <w:rPr>
          <w:rFonts w:asciiTheme="majorHAnsi" w:hAnsiTheme="majorHAnsi" w:cstheme="majorHAnsi"/>
          <w:i/>
          <w:sz w:val="26"/>
          <w:szCs w:val="26"/>
        </w:rPr>
        <w:t xml:space="preserve">Chi phí chuyển đổi (switching costs) </w:t>
      </w:r>
      <w:r w:rsidRPr="00625A8B">
        <w:rPr>
          <w:rFonts w:asciiTheme="majorHAnsi" w:hAnsiTheme="majorHAnsi" w:cstheme="majorHAnsi"/>
          <w:sz w:val="26"/>
          <w:szCs w:val="26"/>
        </w:rPr>
        <w:t>là chi phí trực tiếp và gián tiếp để nhà cung cấp giành được khách hàng từ đối thủ cạnh tranh (chi phí chuyển đổi nhà cung cấp) và để khách hàng chuyển sang nhà cung cấp hàng hóa hoặc dịch vụ mới (chi phí chuyển đổi của khách hàng). Tổng chi phí chuyển đổi là tổng chi phí đối với nhà cung cấp và chi phí đối với khách hàng.</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Nếu chi phí chuyển đổi của nhà cung cấp là V và chi phí chuyển đổi của khách hàng là C, thì tổng chi phí chuyển đổi là S = V + C.</w:t>
      </w:r>
    </w:p>
    <w:p w:rsidR="0079060C" w:rsidRPr="00625A8B" w:rsidRDefault="0079060C" w:rsidP="0079060C">
      <w:pPr>
        <w:spacing w:before="120" w:after="0"/>
        <w:jc w:val="both"/>
        <w:rPr>
          <w:rFonts w:asciiTheme="majorHAnsi" w:hAnsiTheme="majorHAnsi" w:cstheme="majorHAnsi"/>
          <w:b/>
          <w:sz w:val="26"/>
          <w:szCs w:val="26"/>
        </w:rPr>
      </w:pPr>
      <w:r w:rsidRPr="00625A8B">
        <w:rPr>
          <w:rFonts w:asciiTheme="majorHAnsi" w:hAnsiTheme="majorHAnsi" w:cstheme="majorHAnsi"/>
          <w:b/>
          <w:sz w:val="26"/>
          <w:szCs w:val="26"/>
        </w:rPr>
        <w:t xml:space="preserve">2. Chiến lược chi phí chuyển đổi </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Đối với nhà cung cấp, có hai chiến lược:</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1. Để thu hút khách hàng mới, nhà cung cấp phải làm cho chi phí chuyển đổi đối với người tiêu dùng mới tiềm năng càng nhỏ càng tốt. Trên thực tế, điều này có nghĩa là </w:t>
      </w:r>
      <w:r w:rsidRPr="00625A8B">
        <w:rPr>
          <w:rFonts w:asciiTheme="majorHAnsi" w:hAnsiTheme="majorHAnsi" w:cstheme="majorHAnsi"/>
          <w:sz w:val="26"/>
          <w:szCs w:val="26"/>
        </w:rPr>
        <w:lastRenderedPageBreak/>
        <w:t>nhà cung cấp phải bù đắp các chi phí hoặc sự bất tiện mà khách hàng có thể có khi hoán đổi nhà cung cấp. Điều này làm cho chi phí chuyển đổi đối với nhà cung cấp cao.</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2. Mặt khác, nhà cung cấp phải làm cho chi phí chuyển đổi càng cao càng tốt đối với chính khách hàng của mình để không khuyến khích họ chuyển sang đối thủ cạnh tranh. Chi phí chuyển đổi phải cao đến mức các đối thủ cạnh tranh không muốn cố gắng giành lại khách hàng.</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Trong các trường hợp độc quyền, điều này đôi khi có thể gây ra các chiến lược mâu thuẫn, đặc biệt nếu chi phí chuyển đổi hoàn toàn là tiền tệ như được minh họa trong Hộp </w:t>
      </w:r>
      <w:r w:rsidR="0079060C" w:rsidRPr="00625A8B">
        <w:rPr>
          <w:rFonts w:asciiTheme="majorHAnsi" w:hAnsiTheme="majorHAnsi" w:cstheme="majorHAnsi"/>
          <w:sz w:val="26"/>
          <w:szCs w:val="26"/>
        </w:rPr>
        <w:t>1 dưới đây</w:t>
      </w:r>
      <w:r w:rsidRPr="00625A8B">
        <w:rPr>
          <w:rFonts w:asciiTheme="majorHAnsi" w:hAnsiTheme="majorHAnsi" w:cstheme="majorHAnsi"/>
          <w:sz w:val="26"/>
          <w:szCs w:val="26"/>
        </w:rPr>
        <w:t>.</w:t>
      </w:r>
    </w:p>
    <w:tbl>
      <w:tblPr>
        <w:tblStyle w:val="TableGrid"/>
        <w:tblW w:w="0" w:type="auto"/>
        <w:tblInd w:w="108" w:type="dxa"/>
        <w:tblLook w:val="04A0" w:firstRow="1" w:lastRow="0" w:firstColumn="1" w:lastColumn="0" w:noHBand="0" w:noVBand="1"/>
      </w:tblPr>
      <w:tblGrid>
        <w:gridCol w:w="9356"/>
      </w:tblGrid>
      <w:tr w:rsidR="008438B4" w:rsidRPr="00625A8B" w:rsidTr="0079060C">
        <w:tc>
          <w:tcPr>
            <w:tcW w:w="9356" w:type="dxa"/>
          </w:tcPr>
          <w:p w:rsidR="008438B4" w:rsidRPr="00625A8B" w:rsidRDefault="0079060C" w:rsidP="00AD3975">
            <w:pPr>
              <w:spacing w:before="120" w:line="276" w:lineRule="auto"/>
              <w:ind w:firstLine="426"/>
              <w:jc w:val="both"/>
              <w:rPr>
                <w:rFonts w:asciiTheme="majorHAnsi" w:hAnsiTheme="majorHAnsi" w:cstheme="majorHAnsi"/>
                <w:b/>
                <w:i/>
                <w:sz w:val="26"/>
                <w:szCs w:val="26"/>
              </w:rPr>
            </w:pPr>
            <w:r w:rsidRPr="00625A8B">
              <w:rPr>
                <w:rFonts w:asciiTheme="majorHAnsi" w:hAnsiTheme="majorHAnsi" w:cstheme="majorHAnsi"/>
                <w:b/>
                <w:i/>
                <w:sz w:val="26"/>
                <w:szCs w:val="26"/>
              </w:rPr>
              <w:t xml:space="preserve">Hộp 1: </w:t>
            </w:r>
            <w:r w:rsidR="008438B4" w:rsidRPr="00625A8B">
              <w:rPr>
                <w:rFonts w:asciiTheme="majorHAnsi" w:hAnsiTheme="majorHAnsi" w:cstheme="majorHAnsi"/>
                <w:b/>
                <w:i/>
                <w:sz w:val="26"/>
                <w:szCs w:val="26"/>
              </w:rPr>
              <w:t>Cạnh tranh trên thị trường điện thoại di động</w:t>
            </w:r>
          </w:p>
          <w:p w:rsidR="008438B4" w:rsidRPr="00625A8B" w:rsidRDefault="008438B4" w:rsidP="00E97D27">
            <w:pPr>
              <w:spacing w:before="120" w:after="60" w:line="276" w:lineRule="auto"/>
              <w:ind w:firstLine="425"/>
              <w:jc w:val="both"/>
              <w:rPr>
                <w:rFonts w:asciiTheme="majorHAnsi" w:hAnsiTheme="majorHAnsi" w:cstheme="majorHAnsi"/>
                <w:b/>
                <w:i/>
                <w:sz w:val="26"/>
                <w:szCs w:val="26"/>
              </w:rPr>
            </w:pPr>
            <w:r w:rsidRPr="00625A8B">
              <w:rPr>
                <w:rFonts w:asciiTheme="majorHAnsi" w:hAnsiTheme="majorHAnsi" w:cstheme="majorHAnsi"/>
                <w:sz w:val="26"/>
                <w:szCs w:val="26"/>
              </w:rPr>
              <w:t>Cho đến khoảng năm 2010, các nhà vận hành di động thường bán điện thoại di động cho khách hàng mới với giá thấp hơn nhiều so với giá thực tế trên thị trường để thu hút khách hàng mới. Điều này làm giảm chi phí chuyển đổi đối với người tiêu dùng, nhưng lại tăng chi phí đối với nhà cung cấp. Tổng chi phí chuyển đổi không thay đổi. Vì thị trường di động là độc quyền, các nhà vận hành di động buộc phải chơi một trò chơi tiến thoái lưỡng nan của tù nhân (prisoner’s dilemma game), trong đó tất cả các nhà cung cấp buộc phải sử dụng cùng một chiến lược định giá. Nếu không, họ sẽ thu hút được ít khách hàng mới hơn và chi phí để khách hàng chuyển sang đối thủ cạnh tranh sẽ rất nhỏ. Khi thị trường điện thoại thông minh tiến tới mức bão hòa, thông lệ này đã chấm dứt và người tiêu dùng phải trả giá thị trường cho điện thoại thông minh. Một lý do cho chiến lược mới là các nhà vận hành nhận ra rằng trợ giá điện thoại là một chiến lược tồi tại các thị trường đã bão hòa, như thị trường di động ở châu Âu vào thời điểm đó. Trong một thị trường độc quyền, nơi có ít khách hàng mới để giành lấy, chiến lược này sẽ không kích thích tăng trưởng. Chiến lược này sẽ giảm chi phí của khách hàng nhưng làm tăng chi phí và giảm doanh thu của các nhà vận hành di động.</w:t>
            </w:r>
          </w:p>
        </w:tc>
      </w:tr>
    </w:tbl>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Chi phí chuyển đổi đối với khách hàng bao gồm một số yếu tố như phí chấm dứt đăng ký (hiện nay hầu như không tồn tại do điều tiết thị trường của chính phủ), mất lợi thế (tiết kiệm và chiết khấu có điều kiện), công việc bổ sung (cài đặt và đào tạo nhân viên), có thể mất thông tin (định dạng không tương thích), chi phí ẩn (thiết bị hoặc chức năng bổ sung không có trong ưu đãi), sự bất tiện (cập nhật hệ thống hợp tác, khách hàng hoặc danh sách địa chỉ) và bất ngờ (ưu đãi không tốt như đã hứa). Một số chi phí chuyển đổi là chi phí trực tiếp (ví dụ: phí rời khỏi, đào tạo hoặc thiết bị bổ sung) và một số là chi phí tâm lý, tình cảm hoặc xã hội (“nỗi đau mất đi lợi thế mạnh hơn niềm vui khi đạt được cùng lợi thế”).</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Chi phí chuyển đổi đối với nhà cung cấp có thể là ưu đãi giá gia nhập (miễn phí tháng đầu tiên), giảm giá thiết bị (điện thoại di động giá rẻ), hỗ trợ đào tạo (khóa đào tạo miễn phí cho nhân viên chính) hoặc các tính năng bổ sung miễn phí (bảo vệ chống vi rút hoặc lưu trữ dự phòng).</w:t>
      </w:r>
    </w:p>
    <w:p w:rsidR="008438B4" w:rsidRPr="00625A8B" w:rsidRDefault="008438B4" w:rsidP="008438B4">
      <w:pPr>
        <w:spacing w:before="120" w:after="0"/>
        <w:jc w:val="both"/>
        <w:rPr>
          <w:rFonts w:asciiTheme="majorHAnsi" w:hAnsiTheme="majorHAnsi" w:cstheme="majorHAnsi"/>
          <w:b/>
          <w:sz w:val="26"/>
          <w:szCs w:val="26"/>
        </w:rPr>
      </w:pPr>
      <w:r w:rsidRPr="00625A8B">
        <w:rPr>
          <w:rFonts w:asciiTheme="majorHAnsi" w:hAnsiTheme="majorHAnsi" w:cstheme="majorHAnsi"/>
          <w:b/>
          <w:sz w:val="26"/>
          <w:szCs w:val="26"/>
        </w:rPr>
        <w:t>3</w:t>
      </w:r>
      <w:r w:rsidR="0079060C" w:rsidRPr="00625A8B">
        <w:rPr>
          <w:rFonts w:asciiTheme="majorHAnsi" w:hAnsiTheme="majorHAnsi" w:cstheme="majorHAnsi"/>
          <w:b/>
          <w:sz w:val="26"/>
          <w:szCs w:val="26"/>
        </w:rPr>
        <w:t>.</w:t>
      </w:r>
      <w:r w:rsidRPr="00625A8B">
        <w:rPr>
          <w:rFonts w:asciiTheme="majorHAnsi" w:hAnsiTheme="majorHAnsi" w:cstheme="majorHAnsi"/>
          <w:b/>
          <w:sz w:val="26"/>
          <w:szCs w:val="26"/>
        </w:rPr>
        <w:t xml:space="preserve"> Cơ chế khóa (Lock-</w:t>
      </w:r>
      <w:r w:rsidRPr="00625A8B">
        <w:rPr>
          <w:rFonts w:asciiTheme="majorHAnsi" w:hAnsiTheme="majorHAnsi" w:cstheme="majorHAnsi"/>
          <w:b/>
          <w:sz w:val="26"/>
          <w:szCs w:val="26"/>
          <w:lang w:val="en-US"/>
        </w:rPr>
        <w:t>i</w:t>
      </w:r>
      <w:r w:rsidRPr="00625A8B">
        <w:rPr>
          <w:rFonts w:asciiTheme="majorHAnsi" w:hAnsiTheme="majorHAnsi" w:cstheme="majorHAnsi"/>
          <w:b/>
          <w:sz w:val="26"/>
          <w:szCs w:val="26"/>
        </w:rPr>
        <w:t xml:space="preserve">n </w:t>
      </w:r>
      <w:r w:rsidRPr="00625A8B">
        <w:rPr>
          <w:rFonts w:asciiTheme="majorHAnsi" w:hAnsiTheme="majorHAnsi" w:cstheme="majorHAnsi"/>
          <w:b/>
          <w:sz w:val="26"/>
          <w:szCs w:val="26"/>
          <w:lang w:val="en-US"/>
        </w:rPr>
        <w:t>m</w:t>
      </w:r>
      <w:r w:rsidRPr="00625A8B">
        <w:rPr>
          <w:rFonts w:asciiTheme="majorHAnsi" w:hAnsiTheme="majorHAnsi" w:cstheme="majorHAnsi"/>
          <w:b/>
          <w:sz w:val="26"/>
          <w:szCs w:val="26"/>
        </w:rPr>
        <w:t>echanisms)</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lastRenderedPageBreak/>
        <w:t>Một công ty có thể sử dụng các chiến lược khác nhau để thu hút người dùng của mình. Dưới đây là một số chiến lược chính.</w:t>
      </w:r>
    </w:p>
    <w:p w:rsidR="008438B4" w:rsidRPr="00625A8B" w:rsidRDefault="00305B72" w:rsidP="008438B4">
      <w:pPr>
        <w:spacing w:before="120" w:after="0"/>
        <w:jc w:val="both"/>
        <w:rPr>
          <w:rFonts w:asciiTheme="majorHAnsi" w:hAnsiTheme="majorHAnsi" w:cstheme="majorHAnsi"/>
          <w:b/>
          <w:i/>
          <w:sz w:val="26"/>
          <w:szCs w:val="26"/>
        </w:rPr>
      </w:pPr>
      <w:r w:rsidRPr="00625A8B">
        <w:rPr>
          <w:rFonts w:asciiTheme="majorHAnsi" w:hAnsiTheme="majorHAnsi" w:cstheme="majorHAnsi"/>
          <w:b/>
          <w:i/>
          <w:sz w:val="26"/>
          <w:szCs w:val="26"/>
        </w:rPr>
        <w:t>3</w:t>
      </w:r>
      <w:r w:rsidR="008438B4" w:rsidRPr="00625A8B">
        <w:rPr>
          <w:rFonts w:asciiTheme="majorHAnsi" w:hAnsiTheme="majorHAnsi" w:cstheme="majorHAnsi"/>
          <w:b/>
          <w:i/>
          <w:sz w:val="26"/>
          <w:szCs w:val="26"/>
        </w:rPr>
        <w:t>.1 Phụ tùng, cập nhật hệ thống và bảo trì</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Các hệ thống mà tính khả dụng và độ tin cậy là cực kỳ quan trọng (ví dụ: phân phối điện, viễn thông, hàng không và hệ thống máy tính lớn) phải dễ dàng có được phụ tùng thay thế để duy trì hoạt động của hệ thống. Công ty có thể có một kho phụ tùng và nhân viên bảo trì lành nghề riêng biệt, hoặc họ có thể có hợp đồng với nhà sản xuất thiết bị để cung cấp phụ tùng và sửa chữa trong thời gian ngắn. Tất cả điều này đều đòi hỏi chi phí, dẫn đến việc chủ sở hữu hệ thống bị khóa vì việc chuyển sang nhà cung cấp mới trong khi hệ thống hiện có vẫn đang hoạt động đồng nghĩa với cần phải duy trì một bộ phụ tùng thay thế kép (và các hợp đồng bảo trì liên quan).</w:t>
      </w:r>
    </w:p>
    <w:p w:rsidR="008438B4" w:rsidRPr="00625A8B" w:rsidRDefault="00305B72" w:rsidP="008438B4">
      <w:pPr>
        <w:spacing w:before="120" w:after="0"/>
        <w:jc w:val="both"/>
        <w:rPr>
          <w:rFonts w:asciiTheme="majorHAnsi" w:hAnsiTheme="majorHAnsi" w:cstheme="majorHAnsi"/>
          <w:b/>
          <w:i/>
          <w:sz w:val="26"/>
          <w:szCs w:val="26"/>
        </w:rPr>
      </w:pPr>
      <w:r w:rsidRPr="00625A8B">
        <w:rPr>
          <w:rFonts w:asciiTheme="majorHAnsi" w:hAnsiTheme="majorHAnsi" w:cstheme="majorHAnsi"/>
          <w:b/>
          <w:i/>
          <w:sz w:val="26"/>
          <w:szCs w:val="26"/>
        </w:rPr>
        <w:t>3</w:t>
      </w:r>
      <w:r w:rsidR="008438B4" w:rsidRPr="00625A8B">
        <w:rPr>
          <w:rFonts w:asciiTheme="majorHAnsi" w:hAnsiTheme="majorHAnsi" w:cstheme="majorHAnsi"/>
          <w:b/>
          <w:i/>
          <w:sz w:val="26"/>
          <w:szCs w:val="26"/>
        </w:rPr>
        <w:t>.2</w:t>
      </w:r>
      <w:r w:rsidRPr="00625A8B">
        <w:rPr>
          <w:rFonts w:asciiTheme="majorHAnsi" w:hAnsiTheme="majorHAnsi" w:cstheme="majorHAnsi"/>
          <w:b/>
          <w:i/>
          <w:sz w:val="26"/>
          <w:szCs w:val="26"/>
        </w:rPr>
        <w:t>.</w:t>
      </w:r>
      <w:r w:rsidR="008438B4" w:rsidRPr="00625A8B">
        <w:rPr>
          <w:rFonts w:asciiTheme="majorHAnsi" w:hAnsiTheme="majorHAnsi" w:cstheme="majorHAnsi"/>
          <w:b/>
          <w:i/>
          <w:sz w:val="26"/>
          <w:szCs w:val="26"/>
        </w:rPr>
        <w:t xml:space="preserve"> Đào tạo</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Tình hình cũng giống như đối với phụ tùng thay thế. Một hệ thống mới - ví dụ, một loại máy bay mới - có thể yêu cầu nhân viên được đào tạo chuyên sâu để vận hành và bảo trì. Điều tương tự cũng áp dụng cho việc thay đổi nền tảng máy tính, ví dụ, từ Microsoft sang Mac, trong đó cơ chế khóa thường có lợi cho Microsoft vì họ có thị phần lớn nhất.</w:t>
      </w:r>
    </w:p>
    <w:p w:rsidR="008438B4" w:rsidRPr="00625A8B" w:rsidRDefault="00305B72" w:rsidP="008438B4">
      <w:pPr>
        <w:spacing w:before="120" w:after="0"/>
        <w:jc w:val="both"/>
        <w:rPr>
          <w:rFonts w:asciiTheme="majorHAnsi" w:hAnsiTheme="majorHAnsi" w:cstheme="majorHAnsi"/>
          <w:b/>
          <w:i/>
          <w:sz w:val="26"/>
          <w:szCs w:val="26"/>
        </w:rPr>
      </w:pPr>
      <w:r w:rsidRPr="00625A8B">
        <w:rPr>
          <w:rFonts w:asciiTheme="majorHAnsi" w:hAnsiTheme="majorHAnsi" w:cstheme="majorHAnsi"/>
          <w:b/>
          <w:i/>
          <w:sz w:val="26"/>
          <w:szCs w:val="26"/>
        </w:rPr>
        <w:t>3</w:t>
      </w:r>
      <w:r w:rsidR="008438B4" w:rsidRPr="00625A8B">
        <w:rPr>
          <w:rFonts w:asciiTheme="majorHAnsi" w:hAnsiTheme="majorHAnsi" w:cstheme="majorHAnsi"/>
          <w:b/>
          <w:i/>
          <w:sz w:val="26"/>
          <w:szCs w:val="26"/>
        </w:rPr>
        <w:t>.3</w:t>
      </w:r>
      <w:r w:rsidRPr="00625A8B">
        <w:rPr>
          <w:rFonts w:asciiTheme="majorHAnsi" w:hAnsiTheme="majorHAnsi" w:cstheme="majorHAnsi"/>
          <w:b/>
          <w:i/>
          <w:sz w:val="26"/>
          <w:szCs w:val="26"/>
        </w:rPr>
        <w:t>.</w:t>
      </w:r>
      <w:r w:rsidR="008438B4" w:rsidRPr="00625A8B">
        <w:rPr>
          <w:rFonts w:asciiTheme="majorHAnsi" w:hAnsiTheme="majorHAnsi" w:cstheme="majorHAnsi"/>
          <w:b/>
          <w:i/>
          <w:sz w:val="26"/>
          <w:szCs w:val="26"/>
        </w:rPr>
        <w:t xml:space="preserve"> Tính không tương thích và tính tương thích</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Có một số ví dụ, trong đó các định dạng, quy trình hoặc công nghệ không tương thích có thể dẫn đến khóa. Một số ví dụ về khóa do không tương thích có trong Ví dụ 1 (Hộp </w:t>
      </w:r>
      <w:r w:rsidR="00305B72" w:rsidRPr="00625A8B">
        <w:rPr>
          <w:rFonts w:asciiTheme="majorHAnsi" w:hAnsiTheme="majorHAnsi" w:cstheme="majorHAnsi"/>
          <w:sz w:val="26"/>
          <w:szCs w:val="26"/>
        </w:rPr>
        <w:t>2</w:t>
      </w:r>
      <w:r w:rsidRPr="00625A8B">
        <w:rPr>
          <w:rFonts w:asciiTheme="majorHAnsi" w:hAnsiTheme="majorHAnsi" w:cstheme="majorHAnsi"/>
          <w:sz w:val="26"/>
          <w:szCs w:val="26"/>
        </w:rPr>
        <w:t xml:space="preserve">). Một trường hợp phức tạp hơn là khả năng tương thích ngược, vì nó đôi khi được sử dụng để tránh bị khóa, trong khi trong các trường hợp khác, tính tương thích ngược tạo ra khóa. Ví dụ 2 (Hộp </w:t>
      </w:r>
      <w:r w:rsidR="00305B72" w:rsidRPr="00625A8B">
        <w:rPr>
          <w:rFonts w:asciiTheme="majorHAnsi" w:hAnsiTheme="majorHAnsi" w:cstheme="majorHAnsi"/>
          <w:sz w:val="26"/>
          <w:szCs w:val="26"/>
        </w:rPr>
        <w:t>2</w:t>
      </w:r>
      <w:r w:rsidRPr="00625A8B">
        <w:rPr>
          <w:rFonts w:asciiTheme="majorHAnsi" w:hAnsiTheme="majorHAnsi" w:cstheme="majorHAnsi"/>
          <w:sz w:val="26"/>
          <w:szCs w:val="26"/>
        </w:rPr>
        <w:t>) thảo luận về ảnh hưởng của khả năng tương thích ngược có thể có đối với quá trình khóa.</w:t>
      </w:r>
    </w:p>
    <w:tbl>
      <w:tblPr>
        <w:tblStyle w:val="TableGrid"/>
        <w:tblW w:w="0" w:type="auto"/>
        <w:tblInd w:w="108" w:type="dxa"/>
        <w:tblLook w:val="04A0" w:firstRow="1" w:lastRow="0" w:firstColumn="1" w:lastColumn="0" w:noHBand="0" w:noVBand="1"/>
      </w:tblPr>
      <w:tblGrid>
        <w:gridCol w:w="8789"/>
      </w:tblGrid>
      <w:tr w:rsidR="008438B4" w:rsidRPr="00625A8B" w:rsidTr="00AD3975">
        <w:tc>
          <w:tcPr>
            <w:tcW w:w="8789" w:type="dxa"/>
          </w:tcPr>
          <w:p w:rsidR="008438B4" w:rsidRPr="00625A8B" w:rsidRDefault="008438B4" w:rsidP="00AD3975">
            <w:pPr>
              <w:spacing w:before="120" w:line="276" w:lineRule="auto"/>
              <w:ind w:firstLine="426"/>
              <w:jc w:val="both"/>
              <w:rPr>
                <w:rFonts w:asciiTheme="majorHAnsi" w:hAnsiTheme="majorHAnsi" w:cstheme="majorHAnsi"/>
                <w:b/>
                <w:i/>
                <w:sz w:val="26"/>
                <w:szCs w:val="26"/>
              </w:rPr>
            </w:pPr>
            <w:r w:rsidRPr="00625A8B">
              <w:rPr>
                <w:rFonts w:asciiTheme="majorHAnsi" w:hAnsiTheme="majorHAnsi" w:cstheme="majorHAnsi"/>
                <w:b/>
                <w:i/>
                <w:sz w:val="26"/>
                <w:szCs w:val="26"/>
              </w:rPr>
              <w:t xml:space="preserve">Hộp </w:t>
            </w:r>
            <w:r w:rsidR="00305B72" w:rsidRPr="00625A8B">
              <w:rPr>
                <w:rFonts w:asciiTheme="majorHAnsi" w:hAnsiTheme="majorHAnsi" w:cstheme="majorHAnsi"/>
                <w:b/>
                <w:i/>
                <w:sz w:val="26"/>
                <w:szCs w:val="26"/>
              </w:rPr>
              <w:t>2</w:t>
            </w:r>
            <w:r w:rsidRPr="00625A8B">
              <w:rPr>
                <w:rFonts w:asciiTheme="majorHAnsi" w:hAnsiTheme="majorHAnsi" w:cstheme="majorHAnsi"/>
                <w:b/>
                <w:i/>
                <w:sz w:val="26"/>
                <w:szCs w:val="26"/>
              </w:rPr>
              <w:t>: Ví dụ về khóa do không tương thích và tương thích ngược</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b/>
                <w:i/>
                <w:sz w:val="26"/>
                <w:szCs w:val="26"/>
              </w:rPr>
              <w:t>Ví dụ 1:</w:t>
            </w:r>
            <w:r w:rsidRPr="00625A8B">
              <w:rPr>
                <w:rFonts w:asciiTheme="majorHAnsi" w:hAnsiTheme="majorHAnsi" w:cstheme="majorHAnsi"/>
                <w:sz w:val="26"/>
                <w:szCs w:val="26"/>
              </w:rPr>
              <w:t xml:space="preserve"> </w:t>
            </w:r>
            <w:r w:rsidRPr="00625A8B">
              <w:rPr>
                <w:rFonts w:asciiTheme="majorHAnsi" w:hAnsiTheme="majorHAnsi" w:cstheme="majorHAnsi"/>
                <w:b/>
                <w:i/>
                <w:sz w:val="26"/>
                <w:szCs w:val="26"/>
              </w:rPr>
              <w:t>Khóa do không tương thích</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sz w:val="26"/>
                <w:szCs w:val="26"/>
              </w:rPr>
              <w:t>Khóa do không tương thích được minh chứng rõ nhất bằng chiến lược khóa của Microsoft, được gọi là chấp nhận, mở rộng và dập tắt (Embrace, Extend, and Extinguish - EEE) (Xem bài viết trên Wikipedia: Embrace, extend, and extinguish):</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sz w:val="26"/>
                <w:szCs w:val="26"/>
              </w:rPr>
              <w:t>- Chấp nhận: tạo ra một sản phẩm dựa trên một tiêu chuẩn có sẵn công khai và cũng được các đối thủ cạnh tranh sử dụng.</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sz w:val="26"/>
                <w:szCs w:val="26"/>
              </w:rPr>
              <w:t>- Mở rộng: thêm các tính năng không có trong tiêu chuẩn gây ra vấn đề về khả năng tương tác với các sản phẩm khác dựa trên cùng tiêu chuẩn.</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sz w:val="26"/>
                <w:szCs w:val="26"/>
              </w:rPr>
              <w:t>- Dập tắt: do thị phần chi phối, sản phẩm mới có thể trở thành tiêu chuẩn thực tế ép các đối thủ cạnh tranh không tiếp cận được với các tiện ích mở rộng. Sau đó, người dùng bị khóa vào một sản phẩm của Microsoft.</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sz w:val="26"/>
                <w:szCs w:val="26"/>
              </w:rPr>
              <w:t xml:space="preserve">App Store và Google Play Store là các thị trường không tương thích cho các </w:t>
            </w:r>
            <w:r w:rsidRPr="00625A8B">
              <w:rPr>
                <w:rFonts w:asciiTheme="majorHAnsi" w:hAnsiTheme="majorHAnsi" w:cstheme="majorHAnsi"/>
                <w:sz w:val="26"/>
                <w:szCs w:val="26"/>
              </w:rPr>
              <w:lastRenderedPageBreak/>
              <w:t>ứng dụng phần mềm dành cho điện thoại thông minh và vì các nền tảng không tương thích nên người dùng không thể chuyển từ điện thoại Android sang nền tảng Apple (hoặc ngược lại) mà không làm mất các ứng dụng đã tải xuống - hai thị trường này yêu cầu các loại không tương thích của điện thoại thông minh.</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sz w:val="26"/>
                <w:szCs w:val="26"/>
              </w:rPr>
              <w:t>Skype là công nghệ OTT không tương thích với công nghệ thoại qua IP (VoIP) như công nghệ được sử dụng trong các hệ thống di động 4G và 5G. Cả hai bên trong cuộc trò chuyện đều cần phần mềm Skype để mã hóa và giải mã các mẫu giọng nói. Skype không thể phân biệt được với các dịch vụ Web khác và do đó không bị tính phí người dùng cụ thể. Điều này gây ra khóa với các dịch vụ Skype, đặc biệt là đối với các cuộc gọi điện thoại đường dài. Skype chỉ là một ví dụ về các định dạng tệp không tương thích gây khóa cho một công nghệ cụ thể.</w:t>
            </w:r>
          </w:p>
          <w:p w:rsidR="008438B4" w:rsidRPr="00625A8B" w:rsidRDefault="008438B4" w:rsidP="00AD3975">
            <w:pPr>
              <w:spacing w:before="120" w:line="276" w:lineRule="auto"/>
              <w:ind w:firstLine="426"/>
              <w:jc w:val="both"/>
              <w:rPr>
                <w:rFonts w:asciiTheme="majorHAnsi" w:hAnsiTheme="majorHAnsi" w:cstheme="majorHAnsi"/>
                <w:b/>
                <w:i/>
                <w:sz w:val="26"/>
                <w:szCs w:val="26"/>
              </w:rPr>
            </w:pPr>
            <w:r w:rsidRPr="00625A8B">
              <w:rPr>
                <w:rFonts w:asciiTheme="majorHAnsi" w:hAnsiTheme="majorHAnsi" w:cstheme="majorHAnsi"/>
                <w:b/>
                <w:i/>
                <w:sz w:val="26"/>
                <w:szCs w:val="26"/>
              </w:rPr>
              <w:t>Ví dụ 2: Tránh và tạo khóa bằng khả năng tương thích ngược</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sz w:val="26"/>
                <w:szCs w:val="26"/>
              </w:rPr>
              <w:t>Một khía cạnh quan trọng của tiêu chuẩn hóa là khả năng tương thích ngược được tích hợp sẵn. Điều này có nghĩa là phiên bản mới của thiết bị hoặc phần mềm có thể hoạt động trơn tru cùng với các phiên bản trước đó. Trong nhiều giao thức (ví dụ: IP), phần tử thông tin đầu tiên trong định dạng là số phiên bản, cho phép máy tính chuyển sang phần mềm thích hợp để đọc các thông số còn lại (ví dụ: IPv4 hoặc IPv6). Bằng việc trang bị máy tính phần mềm cho cả IPv4 và IPv6 giúp tránh bị khóa vào một công nghệ mạng cụ thể.</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sz w:val="26"/>
                <w:szCs w:val="26"/>
              </w:rPr>
              <w:t>Khả năng tương thích ngược của điện thoại di động có lợi cho cả nhà vận hành mạng và người dùng: các nhà vận hành mạng có thể xây dựng mạng một cách suôn sẻ với công nghệ mới và người dùng không cần phải mua điện thoại mới để tiếp tục sử dụng mạng. Một số khả năng tương thích ngược trong các hệ thống di động được tích hợp trong các thông số kỹ thuật (ví dụ: cung cấp GSM, 3G, 4G và 5G trong cùng một mạng). Một số khả năng tương thích ngược được các nhà sản xuất triển khai để cùng một điện thoại có thể được sử dụng trong các mạng sử dụng các công nghệ mạng khác nhau (ví dụ: 3G và tiêu chuẩn CDMA của Mỹ và các mạng 2G, 3G, 4G và 5G, nơi điện thoại thông minh có thể kết nối với một trong các công nghệ này), do đó làm cho việc chuyển vùng độc lập với công nghệ mạng. Các ví dụ khác về khả năng tương thích ngược là bảng điều khiển trò chơi, tái sử dụng công nghệ mạng cố định trong mạng di động và radio (radio DAB có thể nhận cả tín hiệu số và tín hiệu FM tương tự). Trong những ví dụ này, khả năng tương thích ngược không gây ra hiện tượng khóa; ngược lại, khả năng tương thích ngược làm giảm hoặc thậm chí loại bỏ chi phí chuyển đổi.</w:t>
            </w:r>
          </w:p>
          <w:p w:rsidR="008438B4" w:rsidRPr="00625A8B" w:rsidRDefault="008438B4" w:rsidP="00AD3975">
            <w:pPr>
              <w:spacing w:before="120" w:line="276" w:lineRule="auto"/>
              <w:ind w:firstLine="426"/>
              <w:jc w:val="both"/>
              <w:rPr>
                <w:rFonts w:asciiTheme="majorHAnsi" w:hAnsiTheme="majorHAnsi" w:cstheme="majorHAnsi"/>
                <w:sz w:val="26"/>
                <w:szCs w:val="26"/>
              </w:rPr>
            </w:pPr>
            <w:r w:rsidRPr="00625A8B">
              <w:rPr>
                <w:rFonts w:asciiTheme="majorHAnsi" w:hAnsiTheme="majorHAnsi" w:cstheme="majorHAnsi"/>
                <w:sz w:val="26"/>
                <w:szCs w:val="26"/>
              </w:rPr>
              <w:t xml:space="preserve">Khả năng tương thích ngược cũng liên quan đến “điều khoản tổng quát”, trong đó tiêu chuẩn (hoặc hệ thống) hiện có tiếp tục có hiệu lực sau khi một tiêu chuẩn (hoặc hệ thống) mới thay thế được đưa vào hoạt động. “Ông tổ” của truyền thông di động, GSM, vẫn được sử dụng cùng với các hệ thống di động 3G, 4G và 5G. Hệ thống MARISAT, thuộc sở hữu của COMSAT General, phục vụ liên lạc vệ tinh tới tàu biển đã được tổ chức liên chính phủ INMARSAT thông qua làm hệ </w:t>
            </w:r>
            <w:r w:rsidRPr="00625A8B">
              <w:rPr>
                <w:rFonts w:asciiTheme="majorHAnsi" w:hAnsiTheme="majorHAnsi" w:cstheme="majorHAnsi"/>
                <w:sz w:val="26"/>
                <w:szCs w:val="26"/>
              </w:rPr>
              <w:lastRenderedPageBreak/>
              <w:t>thống vệ tinh đầu tiên của tổ chức song song với các hệ thống do chính tổ chức này phát triển để cho phép chuyển đổi suôn sẻ từ công nghệ này sang công nghệ khác và tránh khóa không cần thiết với công nghệ cũ.</w:t>
            </w:r>
          </w:p>
          <w:p w:rsidR="008438B4" w:rsidRPr="00625A8B" w:rsidRDefault="008438B4" w:rsidP="00AD3975">
            <w:pPr>
              <w:spacing w:before="120" w:line="276" w:lineRule="auto"/>
              <w:ind w:firstLine="425"/>
              <w:jc w:val="both"/>
              <w:rPr>
                <w:rFonts w:asciiTheme="majorHAnsi" w:hAnsiTheme="majorHAnsi" w:cstheme="majorHAnsi"/>
                <w:sz w:val="26"/>
                <w:szCs w:val="26"/>
              </w:rPr>
            </w:pPr>
            <w:r w:rsidRPr="00625A8B">
              <w:rPr>
                <w:rFonts w:asciiTheme="majorHAnsi" w:hAnsiTheme="majorHAnsi" w:cstheme="majorHAnsi"/>
                <w:sz w:val="26"/>
                <w:szCs w:val="26"/>
              </w:rPr>
              <w:t>Các sản phẩm của Microsoft (ví dụ: Windows, Word, PowerPoint và Excel) hỗ trợ khả năng tương thích ngược. Khả năng tương thích ngược của các sản phẩm Microsoft có lợi cho người sử dụng hệ thống máy tính vì nó đảm bảo rằng các tài liệu được viết cách đây vài năm vẫn có thể được đọc và sửa đổi bằng cách sử dụng tiêu chuẩn hiện tại. Động cơ rõ ràng là làm cho các sản phẩm của Microsoft trở nên hấp dẫn hơn và để tăng lượng người dùng Microsoft.</w:t>
            </w:r>
          </w:p>
          <w:p w:rsidR="008438B4" w:rsidRPr="00625A8B" w:rsidRDefault="008438B4" w:rsidP="00AD3975">
            <w:pPr>
              <w:spacing w:before="120" w:after="60" w:line="276" w:lineRule="auto"/>
              <w:ind w:firstLine="425"/>
              <w:jc w:val="both"/>
              <w:rPr>
                <w:rFonts w:asciiTheme="majorHAnsi" w:hAnsiTheme="majorHAnsi" w:cstheme="majorHAnsi"/>
                <w:sz w:val="26"/>
                <w:szCs w:val="26"/>
              </w:rPr>
            </w:pPr>
            <w:r w:rsidRPr="00625A8B">
              <w:rPr>
                <w:rFonts w:asciiTheme="majorHAnsi" w:hAnsiTheme="majorHAnsi" w:cstheme="majorHAnsi"/>
                <w:sz w:val="26"/>
                <w:szCs w:val="26"/>
              </w:rPr>
              <w:t>Sau đó, trong một số trường hợp, tính tương thích ngược có thể gây ra tình trạng khóa (ví dụ: với các sản phẩm của Microsoft), trong khi trong các trường hợp khác, khả năng tương thích ngược làm giảm chi phí chuyển đổi đối với người dùng và không dẫn đến khóa (ví dụ: mạng truyền thông di động).</w:t>
            </w:r>
          </w:p>
        </w:tc>
      </w:tr>
    </w:tbl>
    <w:p w:rsidR="008438B4" w:rsidRPr="00625A8B" w:rsidRDefault="008438B4" w:rsidP="008438B4">
      <w:pPr>
        <w:spacing w:before="120" w:after="0"/>
        <w:jc w:val="both"/>
        <w:rPr>
          <w:rFonts w:asciiTheme="majorHAnsi" w:hAnsiTheme="majorHAnsi" w:cstheme="majorHAnsi"/>
          <w:b/>
          <w:i/>
          <w:sz w:val="26"/>
          <w:szCs w:val="26"/>
        </w:rPr>
      </w:pPr>
      <w:r w:rsidRPr="00625A8B">
        <w:rPr>
          <w:rFonts w:asciiTheme="majorHAnsi" w:hAnsiTheme="majorHAnsi" w:cstheme="majorHAnsi"/>
          <w:b/>
          <w:i/>
          <w:sz w:val="26"/>
          <w:szCs w:val="26"/>
        </w:rPr>
        <w:lastRenderedPageBreak/>
        <w:t>3.4</w:t>
      </w:r>
      <w:r w:rsidR="00305B72" w:rsidRPr="00625A8B">
        <w:rPr>
          <w:rFonts w:asciiTheme="majorHAnsi" w:hAnsiTheme="majorHAnsi" w:cstheme="majorHAnsi"/>
          <w:b/>
          <w:i/>
          <w:sz w:val="26"/>
          <w:szCs w:val="26"/>
        </w:rPr>
        <w:t>.</w:t>
      </w:r>
      <w:r w:rsidRPr="00625A8B">
        <w:rPr>
          <w:rFonts w:asciiTheme="majorHAnsi" w:hAnsiTheme="majorHAnsi" w:cstheme="majorHAnsi"/>
          <w:b/>
          <w:i/>
          <w:sz w:val="26"/>
          <w:szCs w:val="26"/>
        </w:rPr>
        <w:t xml:space="preserve"> Khả năng mất thông tin</w:t>
      </w:r>
    </w:p>
    <w:p w:rsidR="008438B4" w:rsidRPr="00625A8B" w:rsidRDefault="008438B4" w:rsidP="0079060C">
      <w:pPr>
        <w:spacing w:before="120" w:after="0"/>
        <w:ind w:firstLine="567"/>
        <w:jc w:val="both"/>
        <w:rPr>
          <w:rFonts w:asciiTheme="majorHAnsi" w:hAnsiTheme="majorHAnsi" w:cstheme="majorHAnsi"/>
          <w:b/>
          <w:i/>
          <w:sz w:val="26"/>
          <w:szCs w:val="26"/>
        </w:rPr>
      </w:pPr>
      <w:r w:rsidRPr="00625A8B">
        <w:rPr>
          <w:rFonts w:asciiTheme="majorHAnsi" w:hAnsiTheme="majorHAnsi" w:cstheme="majorHAnsi"/>
          <w:sz w:val="26"/>
          <w:szCs w:val="26"/>
        </w:rPr>
        <w:t>Nếu một công ty thay đổi nền tảng máy tính của mình, hệ thống mới có thể không hỗ trợ phần mềm cũ. Điều này có thể dẫn đến mất thông tin hoặc dẫn đến việc chuyển đổi phần mềm. Ngay cả khi không phải như vậy, niềm tin rằng thông tin có thể bị mất vì một số lý do không xác định có thể đủ để gây ra tình trạng khóa. Các hệ thống cơ sở dữ liệu có xu hướng phình to vì sợ rằng việc loại bỏ một cơ sở dữ liệu cũ có thể làm mất thông tin hoặc thông tin bị xóa có thể trở nên hữu ích sau khi nó bị xóa.</w:t>
      </w:r>
    </w:p>
    <w:p w:rsidR="008438B4" w:rsidRPr="00625A8B" w:rsidRDefault="008438B4" w:rsidP="008438B4">
      <w:pPr>
        <w:spacing w:before="120" w:after="0"/>
        <w:jc w:val="both"/>
        <w:rPr>
          <w:rFonts w:asciiTheme="majorHAnsi" w:hAnsiTheme="majorHAnsi" w:cstheme="majorHAnsi"/>
          <w:b/>
          <w:i/>
          <w:sz w:val="26"/>
          <w:szCs w:val="26"/>
        </w:rPr>
      </w:pPr>
      <w:r w:rsidRPr="00625A8B">
        <w:rPr>
          <w:rFonts w:asciiTheme="majorHAnsi" w:hAnsiTheme="majorHAnsi" w:cstheme="majorHAnsi"/>
          <w:b/>
          <w:i/>
          <w:sz w:val="26"/>
          <w:szCs w:val="26"/>
        </w:rPr>
        <w:t>3.5</w:t>
      </w:r>
      <w:r w:rsidR="00305B72" w:rsidRPr="00625A8B">
        <w:rPr>
          <w:rFonts w:asciiTheme="majorHAnsi" w:hAnsiTheme="majorHAnsi" w:cstheme="majorHAnsi"/>
          <w:b/>
          <w:i/>
          <w:sz w:val="26"/>
          <w:szCs w:val="26"/>
        </w:rPr>
        <w:t>.</w:t>
      </w:r>
      <w:r w:rsidRPr="00625A8B">
        <w:rPr>
          <w:rFonts w:asciiTheme="majorHAnsi" w:hAnsiTheme="majorHAnsi" w:cstheme="majorHAnsi"/>
          <w:b/>
          <w:i/>
          <w:sz w:val="26"/>
          <w:szCs w:val="26"/>
        </w:rPr>
        <w:t xml:space="preserve"> Các khoản đầu tư và thời gian tồn tại kinh tế (Economic Lifetime)</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Hầu hết các thiết bị và hệ thống đắt tiền thường có tuổi thọ kinh tế và kỹ thuật dài và khó thay thế được nếu không có chi phí đầu tư đáng kể. Hơn nữa, nhà sản xuất hệ thống có thể kiếm tiền từ việc bảo trì, bằng cách nâng cấp hệ thống với các chức năng mới và mở rộng hệ thống. Ví dụ, trường hợp đối với thiết bị thông tin liên lạc - tuổi thọ thiết bị dài (chẳng hạn như GSM đã gần 30 năm tuổi và vẫn đang hoạt động), cùng với việc đào tạo và bảo trì tốn kém, có thể là một khóa hiệu quả của các nhà vận hành mạng trong thời gian dài.</w:t>
      </w:r>
    </w:p>
    <w:p w:rsidR="008438B4" w:rsidRPr="00625A8B" w:rsidRDefault="008438B4" w:rsidP="008438B4">
      <w:pPr>
        <w:spacing w:before="120" w:after="0"/>
        <w:jc w:val="both"/>
        <w:rPr>
          <w:rFonts w:asciiTheme="majorHAnsi" w:hAnsiTheme="majorHAnsi" w:cstheme="majorHAnsi"/>
          <w:b/>
          <w:i/>
          <w:sz w:val="26"/>
          <w:szCs w:val="26"/>
        </w:rPr>
      </w:pPr>
      <w:r w:rsidRPr="00625A8B">
        <w:rPr>
          <w:rFonts w:asciiTheme="majorHAnsi" w:hAnsiTheme="majorHAnsi" w:cstheme="majorHAnsi"/>
          <w:b/>
          <w:i/>
          <w:sz w:val="26"/>
          <w:szCs w:val="26"/>
        </w:rPr>
        <w:t>3.6</w:t>
      </w:r>
      <w:r w:rsidR="00305B72" w:rsidRPr="00625A8B">
        <w:rPr>
          <w:rFonts w:asciiTheme="majorHAnsi" w:hAnsiTheme="majorHAnsi" w:cstheme="majorHAnsi"/>
          <w:b/>
          <w:i/>
          <w:sz w:val="26"/>
          <w:szCs w:val="26"/>
        </w:rPr>
        <w:t>.</w:t>
      </w:r>
      <w:r w:rsidRPr="00625A8B">
        <w:rPr>
          <w:rFonts w:asciiTheme="majorHAnsi" w:hAnsiTheme="majorHAnsi" w:cstheme="majorHAnsi"/>
          <w:b/>
          <w:i/>
          <w:sz w:val="26"/>
          <w:szCs w:val="26"/>
        </w:rPr>
        <w:t xml:space="preserve"> Hợp đồng khó chấm dứt</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Các nhà cung cấp dịch vụ có thể áp dụng các hình phạt nhất định khi khách hàng cố gắng chấm dứt hợp đồng. Ví dụ như:</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Mất tiền lãi đối với các khoản tiết kiệm.</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Hoàn trả chi phí đào tạo tốn kém nếu người sử dụng lao động quyết định nghỉ việc trước khi kết thúc hợp đồng.</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 Thời gian ràng buộc cho thuê bao di động; xem Hộp </w:t>
      </w:r>
      <w:r w:rsidR="00814126" w:rsidRPr="00625A8B">
        <w:rPr>
          <w:rFonts w:asciiTheme="majorHAnsi" w:hAnsiTheme="majorHAnsi" w:cstheme="majorHAnsi"/>
          <w:sz w:val="26"/>
          <w:szCs w:val="26"/>
        </w:rPr>
        <w:t>3</w:t>
      </w:r>
      <w:r w:rsidRPr="00625A8B">
        <w:rPr>
          <w:rFonts w:asciiTheme="majorHAnsi" w:hAnsiTheme="majorHAnsi" w:cstheme="majorHAnsi"/>
          <w:sz w:val="26"/>
          <w:szCs w:val="26"/>
        </w:rPr>
        <w:t>.</w:t>
      </w:r>
    </w:p>
    <w:tbl>
      <w:tblPr>
        <w:tblStyle w:val="TableGrid"/>
        <w:tblW w:w="0" w:type="auto"/>
        <w:tblInd w:w="108" w:type="dxa"/>
        <w:tblLook w:val="04A0" w:firstRow="1" w:lastRow="0" w:firstColumn="1" w:lastColumn="0" w:noHBand="0" w:noVBand="1"/>
      </w:tblPr>
      <w:tblGrid>
        <w:gridCol w:w="9356"/>
      </w:tblGrid>
      <w:tr w:rsidR="008438B4" w:rsidRPr="00625A8B" w:rsidTr="00C128FF">
        <w:tc>
          <w:tcPr>
            <w:tcW w:w="9356" w:type="dxa"/>
          </w:tcPr>
          <w:p w:rsidR="008438B4" w:rsidRPr="00625A8B" w:rsidRDefault="008438B4" w:rsidP="00AD3975">
            <w:pPr>
              <w:spacing w:before="120"/>
              <w:ind w:firstLine="426"/>
              <w:jc w:val="both"/>
              <w:rPr>
                <w:rFonts w:asciiTheme="majorHAnsi" w:hAnsiTheme="majorHAnsi" w:cstheme="majorHAnsi"/>
                <w:b/>
                <w:i/>
                <w:sz w:val="26"/>
                <w:szCs w:val="26"/>
              </w:rPr>
            </w:pPr>
            <w:r w:rsidRPr="00625A8B">
              <w:rPr>
                <w:rFonts w:asciiTheme="majorHAnsi" w:hAnsiTheme="majorHAnsi" w:cstheme="majorHAnsi"/>
                <w:b/>
                <w:i/>
                <w:sz w:val="26"/>
                <w:szCs w:val="26"/>
              </w:rPr>
              <w:t xml:space="preserve">Hộp </w:t>
            </w:r>
            <w:r w:rsidR="00814126" w:rsidRPr="00625A8B">
              <w:rPr>
                <w:rFonts w:asciiTheme="majorHAnsi" w:hAnsiTheme="majorHAnsi" w:cstheme="majorHAnsi"/>
                <w:b/>
                <w:i/>
                <w:sz w:val="26"/>
                <w:szCs w:val="26"/>
              </w:rPr>
              <w:t>3</w:t>
            </w:r>
            <w:r w:rsidRPr="00625A8B">
              <w:rPr>
                <w:rFonts w:asciiTheme="majorHAnsi" w:hAnsiTheme="majorHAnsi" w:cstheme="majorHAnsi"/>
                <w:b/>
                <w:i/>
                <w:sz w:val="26"/>
                <w:szCs w:val="26"/>
              </w:rPr>
              <w:t>: Khóa SIM</w:t>
            </w:r>
          </w:p>
          <w:p w:rsidR="008438B4" w:rsidRPr="00625A8B" w:rsidRDefault="008438B4" w:rsidP="00AD3975">
            <w:pPr>
              <w:spacing w:before="120" w:after="60" w:line="276" w:lineRule="auto"/>
              <w:ind w:firstLine="425"/>
              <w:jc w:val="both"/>
              <w:rPr>
                <w:rFonts w:asciiTheme="majorHAnsi" w:hAnsiTheme="majorHAnsi" w:cstheme="majorHAnsi"/>
                <w:sz w:val="26"/>
                <w:szCs w:val="26"/>
              </w:rPr>
            </w:pPr>
            <w:r w:rsidRPr="00625A8B">
              <w:rPr>
                <w:rFonts w:asciiTheme="majorHAnsi" w:hAnsiTheme="majorHAnsi" w:cstheme="majorHAnsi"/>
                <w:sz w:val="26"/>
                <w:szCs w:val="26"/>
              </w:rPr>
              <w:t xml:space="preserve">Khóa SIM (Subscriber Identity Module - Mô đun nhận dạng thuê bao) ngụ ý rằng </w:t>
            </w:r>
            <w:r w:rsidRPr="00625A8B">
              <w:rPr>
                <w:rFonts w:asciiTheme="majorHAnsi" w:hAnsiTheme="majorHAnsi" w:cstheme="majorHAnsi"/>
                <w:sz w:val="26"/>
                <w:szCs w:val="26"/>
              </w:rPr>
              <w:lastRenderedPageBreak/>
              <w:t>điện thoại thông minh sẽ không chấp nhận vĩnh viễn hoặc trong một khoảng thời gian giới hạn SIM từ một nhà cung cấp dịch vụ di động khác. Đây được gọi là khóa SIM. Việc chuyển sang nhà mạng khác sau đó có nghĩa là khách hàng phải mua điện thoại mới hoặc trả phí cho nhà mạng ban đầu để mở khóa SIM. Trong những năm đầu của truyền thông di động, các hợp đồng thuê bao như vậy là phổ biến. Đây là một trong những lý do tại sao các nhà vận hành trợ giá mạnh cho điện thoại di động, do đó giảm chi phí chuyển đổi trực tiếp cho các thuê bao chuyển từ một nhà vận hành cạnh tranh. Thực tiễn này hiện nay thường được quy định bởi các cơ quan có thẩm quyền nhằm kích thích cạnh tranh và giảm bớt quyền lực của các nhà vận hành chi phối. Ở một số quốc gia, ràng buộc hoàn toàn không được phép, trong khi ở các quốc gia khác, ràng buộc được cho phép trong một thời gian giới hạn (ví dụ: 1 năm). Bổ sung cho khóa SIM là cung cấp, như một phần của hợp đồng thuê bao, bảo hiểm không thể chuyển nhượng của điện thoại trong trường hợp bị hư hỏng.</w:t>
            </w:r>
          </w:p>
        </w:tc>
      </w:tr>
    </w:tbl>
    <w:p w:rsidR="008438B4" w:rsidRPr="00625A8B" w:rsidRDefault="008438B4" w:rsidP="008438B4">
      <w:pPr>
        <w:spacing w:before="240" w:after="0"/>
        <w:jc w:val="both"/>
        <w:rPr>
          <w:rFonts w:asciiTheme="majorHAnsi" w:hAnsiTheme="majorHAnsi" w:cstheme="majorHAnsi"/>
          <w:b/>
          <w:i/>
          <w:sz w:val="26"/>
          <w:szCs w:val="26"/>
        </w:rPr>
      </w:pPr>
      <w:r w:rsidRPr="00625A8B">
        <w:rPr>
          <w:rFonts w:asciiTheme="majorHAnsi" w:hAnsiTheme="majorHAnsi" w:cstheme="majorHAnsi"/>
          <w:b/>
          <w:i/>
          <w:sz w:val="26"/>
          <w:szCs w:val="26"/>
        </w:rPr>
        <w:lastRenderedPageBreak/>
        <w:t>3.7</w:t>
      </w:r>
      <w:r w:rsidR="00814126" w:rsidRPr="00625A8B">
        <w:rPr>
          <w:rFonts w:asciiTheme="majorHAnsi" w:hAnsiTheme="majorHAnsi" w:cstheme="majorHAnsi"/>
          <w:b/>
          <w:i/>
          <w:sz w:val="26"/>
          <w:szCs w:val="26"/>
        </w:rPr>
        <w:t>.</w:t>
      </w:r>
      <w:r w:rsidRPr="00625A8B">
        <w:rPr>
          <w:rFonts w:asciiTheme="majorHAnsi" w:hAnsiTheme="majorHAnsi" w:cstheme="majorHAnsi"/>
          <w:b/>
          <w:i/>
          <w:sz w:val="26"/>
          <w:szCs w:val="26"/>
        </w:rPr>
        <w:t xml:space="preserve"> Chương trình khách hàng thân thiết</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Ví dụ, các chương trình khách hàng thân thiết được sử dụng bởi các hãng hàng không, khách sạn và nhà bán lẻ để kích thích khách hàng mua dịch vụ của họ hơn là của các đối thủ cạnh tranh. Thành viên câu lạc bộ cũng tương tự. Các thành viên câu lạc bộ có thể tiếp cận với hàng hóa và dịch vụ không dành cho những người không phải là thành viên hoặc họ có thể đạt được những lợi thế khác (ví dụ: giá thấp hơn, ưu tiên hoặc phiếu quà tặng).</w:t>
      </w:r>
    </w:p>
    <w:p w:rsidR="008438B4" w:rsidRPr="00625A8B" w:rsidRDefault="008438B4" w:rsidP="008438B4">
      <w:pPr>
        <w:spacing w:before="120" w:after="0"/>
        <w:jc w:val="both"/>
        <w:rPr>
          <w:rFonts w:asciiTheme="majorHAnsi" w:hAnsiTheme="majorHAnsi" w:cstheme="majorHAnsi"/>
          <w:b/>
          <w:i/>
          <w:sz w:val="26"/>
          <w:szCs w:val="26"/>
        </w:rPr>
      </w:pPr>
      <w:r w:rsidRPr="00625A8B">
        <w:rPr>
          <w:rFonts w:asciiTheme="majorHAnsi" w:hAnsiTheme="majorHAnsi" w:cstheme="majorHAnsi"/>
          <w:b/>
          <w:i/>
          <w:sz w:val="26"/>
          <w:szCs w:val="26"/>
        </w:rPr>
        <w:t>3.8</w:t>
      </w:r>
      <w:r w:rsidR="00814126" w:rsidRPr="00625A8B">
        <w:rPr>
          <w:rFonts w:asciiTheme="majorHAnsi" w:hAnsiTheme="majorHAnsi" w:cstheme="majorHAnsi"/>
          <w:b/>
          <w:i/>
          <w:sz w:val="26"/>
          <w:szCs w:val="26"/>
        </w:rPr>
        <w:t>.</w:t>
      </w:r>
      <w:r w:rsidRPr="00625A8B">
        <w:rPr>
          <w:rFonts w:asciiTheme="majorHAnsi" w:hAnsiTheme="majorHAnsi" w:cstheme="majorHAnsi"/>
          <w:b/>
          <w:i/>
          <w:sz w:val="26"/>
          <w:szCs w:val="26"/>
        </w:rPr>
        <w:t xml:space="preserve"> Đóng gói sản phẩm, dịch vụ</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Một số nhà cung cấp kết hợp các sản phẩm khác nhau để làm cho ưu đãi của họ hấp dẫn hơn, chẳng hạn như cung cấp truyền hình, dịch vụ phát trực tuyến theo yêu cầu, truy cập Internet, điện thoại và nội dung độc quyền (ví dụ: danh sách nhạc và phim miễn phí) dưới dạng một gói đăng ký. Thiết bị giao diện cũng có thể thuộc sở hữu của nhà cung cấp hoặc được thiết kế theo các tiêu chuẩn độc quyền để việc chuyển đổi buộc khách hàng phải mua phần cứng mới. Khách hàng cũng có thể mất quyền truy cập vào nội dung.</w:t>
      </w:r>
    </w:p>
    <w:p w:rsidR="008438B4" w:rsidRPr="00625A8B" w:rsidRDefault="008438B4" w:rsidP="008438B4">
      <w:pPr>
        <w:spacing w:before="120" w:after="0"/>
        <w:jc w:val="both"/>
        <w:rPr>
          <w:rFonts w:asciiTheme="majorHAnsi" w:hAnsiTheme="majorHAnsi" w:cstheme="majorHAnsi"/>
          <w:b/>
          <w:i/>
          <w:sz w:val="26"/>
          <w:szCs w:val="26"/>
        </w:rPr>
      </w:pPr>
      <w:r w:rsidRPr="00625A8B">
        <w:rPr>
          <w:rFonts w:asciiTheme="majorHAnsi" w:hAnsiTheme="majorHAnsi" w:cstheme="majorHAnsi"/>
          <w:b/>
          <w:i/>
          <w:sz w:val="26"/>
          <w:szCs w:val="26"/>
        </w:rPr>
        <w:t>3.9</w:t>
      </w:r>
      <w:r w:rsidR="00814126" w:rsidRPr="00625A8B">
        <w:rPr>
          <w:rFonts w:asciiTheme="majorHAnsi" w:hAnsiTheme="majorHAnsi" w:cstheme="majorHAnsi"/>
          <w:b/>
          <w:i/>
          <w:sz w:val="26"/>
          <w:szCs w:val="26"/>
        </w:rPr>
        <w:t>.</w:t>
      </w:r>
      <w:r w:rsidRPr="00625A8B">
        <w:rPr>
          <w:rFonts w:asciiTheme="majorHAnsi" w:hAnsiTheme="majorHAnsi" w:cstheme="majorHAnsi"/>
          <w:b/>
          <w:i/>
          <w:sz w:val="26"/>
          <w:szCs w:val="26"/>
        </w:rPr>
        <w:t xml:space="preserve"> Thuật toán tìm kiếm</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Điều này liên quan đến sự bất tiện (chi phí và thời gian) mà khách hàng phải mất để tìm một sản phẩm cụ thể trong số hàng triệu sản phẩm khác. Bằng cách triển khai các thuật toán tìm kiếm hiệu quả, một công ty có thể dễ dàng tìm kiếm các sản phẩm gây khóa khách hàng. Amazon và eBay là những doanh nghiệp trong nền kinh tế số được hưởng lợi từ các thuật toán tìm kiếm hiệu quả. Điều tương tự cũng áp dụng cho Airbnb, Uber, các dịch vụ đặt chỗ và phát trực tuyến nhạc, phim và video. Thuật toán tìm kiếm đặc biệt hữu ích để xác định các sản phẩm hiếm ở phần đuôi dài và kích thích doanh thu bán các sản phẩm này (ví dụ: Amazon).</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Các nhà bán lẻ cũng có thể hưởng lợi từ các thuật toán tìm kiếm hiệu quả để chọn ra những khách hàng tiềm năng của một sản phẩm. Sau đó, nhà bán lẻ có thể nhắm mục tiêu quảng cáo và khuyến mại trực tiếp đến khách hàng. Facebook, Google và những công ty </w:t>
      </w:r>
      <w:r w:rsidRPr="00625A8B">
        <w:rPr>
          <w:rFonts w:asciiTheme="majorHAnsi" w:hAnsiTheme="majorHAnsi" w:cstheme="majorHAnsi"/>
          <w:sz w:val="26"/>
          <w:szCs w:val="26"/>
        </w:rPr>
        <w:lastRenderedPageBreak/>
        <w:t>có ảnh hưởng khóa các nhà quảng cáo và nhà marketing bằng cách đưa ra các thuật toán như vậy. Đây là lý do tại sao Facebook to lớn như vậy trong kinh doanh quảng cáo.</w:t>
      </w:r>
    </w:p>
    <w:p w:rsidR="008438B4" w:rsidRPr="00625A8B" w:rsidRDefault="008438B4" w:rsidP="008438B4">
      <w:pPr>
        <w:spacing w:before="120" w:after="0"/>
        <w:jc w:val="both"/>
        <w:rPr>
          <w:rFonts w:asciiTheme="majorHAnsi" w:hAnsiTheme="majorHAnsi" w:cstheme="majorHAnsi"/>
          <w:b/>
          <w:i/>
          <w:sz w:val="26"/>
          <w:szCs w:val="26"/>
        </w:rPr>
      </w:pPr>
      <w:r w:rsidRPr="00625A8B">
        <w:rPr>
          <w:rFonts w:asciiTheme="majorHAnsi" w:hAnsiTheme="majorHAnsi" w:cstheme="majorHAnsi"/>
          <w:b/>
          <w:i/>
          <w:sz w:val="26"/>
          <w:szCs w:val="26"/>
        </w:rPr>
        <w:t>3.10</w:t>
      </w:r>
      <w:r w:rsidR="00814126" w:rsidRPr="00625A8B">
        <w:rPr>
          <w:rFonts w:asciiTheme="majorHAnsi" w:hAnsiTheme="majorHAnsi" w:cstheme="majorHAnsi"/>
          <w:b/>
          <w:i/>
          <w:sz w:val="26"/>
          <w:szCs w:val="26"/>
        </w:rPr>
        <w:t>.</w:t>
      </w:r>
      <w:r w:rsidRPr="00625A8B">
        <w:rPr>
          <w:rFonts w:asciiTheme="majorHAnsi" w:hAnsiTheme="majorHAnsi" w:cstheme="majorHAnsi"/>
          <w:b/>
          <w:i/>
          <w:sz w:val="26"/>
          <w:szCs w:val="26"/>
        </w:rPr>
        <w:t xml:space="preserve"> Ràng buộc sản phẩm</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Ràng buộc sản phẩm ngụ ý rằng khách hàng phải mua một sản phẩm khác (được gọi là sản phẩm bị ràng buộc) ngoài sản phẩm mà khách hàng muốn mua. Trong một số trường hợp, điều này có thể dẫn đến khóa. Ví dụ, ban đầu Apple bán iPhone ở Mỹ cùng với hợp đồng 2 năm với nhà mạng Cingular (nay là AT&amp;T) khiến khách hàng bị khóa với nhà mạng này một cách không tự nguyện (Honan, 2007). Microsoft Windows và Internet Explorer cũng bị ràng buộc, làm cho thị trường các trình duyệt độc lập trở nên khó khăn vì khi bị khóa mạnh với Microsoft Windows thì cũng bị khóa mạnh với Internet Explorer. Việc ràng buộc sản phẩm thường bị cấm ở Hoa Kỳ, Châu Âu và các nơi khác, nhưng đôi khi rất khó để ngăn chặn (Microsoft).</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Bộ ứng dụng của Google cũng là một hàng hóa bị ràng buộc, nhưng do các nhà sản xuất điện thoại di động cài đặt ứng dụng miễn phí và người dùng tải xuống nên không bị Tòa án tối cao Hoa Kỳ coi là bất hợp pháp. Ngược lại, Tòa án nhận thấy rằng hoạt động của Google có lợi cho việc đổi mới và bán thiết bị di động nói chung (Sidak, 2015).</w:t>
      </w:r>
    </w:p>
    <w:p w:rsidR="008438B4" w:rsidRPr="00625A8B" w:rsidRDefault="008438B4" w:rsidP="008438B4">
      <w:pPr>
        <w:spacing w:before="120" w:after="0"/>
        <w:jc w:val="both"/>
        <w:rPr>
          <w:rFonts w:asciiTheme="majorHAnsi" w:hAnsiTheme="majorHAnsi" w:cstheme="majorHAnsi"/>
          <w:b/>
          <w:sz w:val="26"/>
          <w:szCs w:val="26"/>
        </w:rPr>
      </w:pPr>
      <w:r w:rsidRPr="00625A8B">
        <w:rPr>
          <w:rFonts w:asciiTheme="majorHAnsi" w:hAnsiTheme="majorHAnsi" w:cstheme="majorHAnsi"/>
          <w:b/>
          <w:sz w:val="26"/>
          <w:szCs w:val="26"/>
        </w:rPr>
        <w:t>4</w:t>
      </w:r>
      <w:r w:rsidR="00814126" w:rsidRPr="00625A8B">
        <w:rPr>
          <w:rFonts w:asciiTheme="majorHAnsi" w:hAnsiTheme="majorHAnsi" w:cstheme="majorHAnsi"/>
          <w:b/>
          <w:sz w:val="26"/>
          <w:szCs w:val="26"/>
        </w:rPr>
        <w:t>.</w:t>
      </w:r>
      <w:r w:rsidRPr="00625A8B">
        <w:rPr>
          <w:rFonts w:asciiTheme="majorHAnsi" w:hAnsiTheme="majorHAnsi" w:cstheme="majorHAnsi"/>
          <w:b/>
          <w:sz w:val="26"/>
          <w:szCs w:val="26"/>
        </w:rPr>
        <w:t xml:space="preserve"> Chu trình khóa</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Shapiro và Varian minh họa động lực học của khóa bằng cách sử dụng sơ đồ đơn giản thể hiện trong Hình </w:t>
      </w:r>
      <w:r w:rsidR="00814126" w:rsidRPr="00625A8B">
        <w:rPr>
          <w:rFonts w:asciiTheme="majorHAnsi" w:hAnsiTheme="majorHAnsi" w:cstheme="majorHAnsi"/>
          <w:sz w:val="26"/>
          <w:szCs w:val="26"/>
        </w:rPr>
        <w:t>1</w:t>
      </w:r>
      <w:r w:rsidRPr="00625A8B">
        <w:rPr>
          <w:rFonts w:asciiTheme="majorHAnsi" w:hAnsiTheme="majorHAnsi" w:cstheme="majorHAnsi"/>
          <w:sz w:val="26"/>
          <w:szCs w:val="26"/>
        </w:rPr>
        <w:t xml:space="preserve"> (Shapiro &amp; Varian, 1999). </w:t>
      </w:r>
      <w:r w:rsidRPr="00625A8B">
        <w:rPr>
          <w:rFonts w:asciiTheme="majorHAnsi" w:hAnsiTheme="majorHAnsi" w:cstheme="majorHAnsi"/>
          <w:i/>
          <w:sz w:val="26"/>
          <w:szCs w:val="26"/>
        </w:rPr>
        <w:t>Chu trình khóa (lock-in cycle</w:t>
      </w:r>
      <w:r w:rsidRPr="00625A8B">
        <w:rPr>
          <w:i/>
          <w:color w:val="211F1F"/>
          <w:sz w:val="26"/>
          <w:szCs w:val="26"/>
        </w:rPr>
        <w:t xml:space="preserve">) </w:t>
      </w:r>
      <w:r w:rsidRPr="00625A8B">
        <w:rPr>
          <w:rFonts w:asciiTheme="majorHAnsi" w:hAnsiTheme="majorHAnsi" w:cstheme="majorHAnsi"/>
          <w:sz w:val="26"/>
          <w:szCs w:val="26"/>
        </w:rPr>
        <w:t>như sau:</w:t>
      </w:r>
    </w:p>
    <w:p w:rsidR="008438B4" w:rsidRPr="00625A8B" w:rsidRDefault="008438B4" w:rsidP="008438B4">
      <w:pPr>
        <w:spacing w:before="120" w:after="0"/>
        <w:jc w:val="center"/>
        <w:rPr>
          <w:rFonts w:asciiTheme="majorHAnsi" w:hAnsiTheme="majorHAnsi" w:cstheme="majorHAnsi"/>
          <w:sz w:val="26"/>
          <w:szCs w:val="26"/>
        </w:rPr>
      </w:pPr>
      <w:r w:rsidRPr="00625A8B">
        <w:rPr>
          <w:noProof/>
          <w:sz w:val="26"/>
          <w:szCs w:val="26"/>
          <w:lang w:eastAsia="vi-VN"/>
        </w:rPr>
        <w:drawing>
          <wp:inline distT="0" distB="0" distL="0" distR="0" wp14:anchorId="2DC73FB6" wp14:editId="4FE3F146">
            <wp:extent cx="3573780" cy="2179320"/>
            <wp:effectExtent l="0" t="0" r="762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brightnessContrast bright="-20000" contrast="40000"/>
                              </a14:imgEffect>
                            </a14:imgLayer>
                          </a14:imgProps>
                        </a:ext>
                      </a:extLst>
                    </a:blip>
                    <a:stretch>
                      <a:fillRect/>
                    </a:stretch>
                  </pic:blipFill>
                  <pic:spPr>
                    <a:xfrm>
                      <a:off x="0" y="0"/>
                      <a:ext cx="3574091" cy="2179509"/>
                    </a:xfrm>
                    <a:prstGeom prst="rect">
                      <a:avLst/>
                    </a:prstGeom>
                  </pic:spPr>
                </pic:pic>
              </a:graphicData>
            </a:graphic>
          </wp:inline>
        </w:drawing>
      </w:r>
    </w:p>
    <w:p w:rsidR="008438B4" w:rsidRPr="00625A8B" w:rsidRDefault="008438B4" w:rsidP="008438B4">
      <w:pPr>
        <w:spacing w:before="120" w:after="0" w:line="240" w:lineRule="auto"/>
        <w:jc w:val="center"/>
        <w:rPr>
          <w:rFonts w:asciiTheme="majorHAnsi" w:hAnsiTheme="majorHAnsi" w:cstheme="majorHAnsi"/>
          <w:b/>
          <w:sz w:val="24"/>
          <w:szCs w:val="24"/>
        </w:rPr>
      </w:pPr>
      <w:r w:rsidRPr="00625A8B">
        <w:rPr>
          <w:rFonts w:asciiTheme="majorHAnsi" w:hAnsiTheme="majorHAnsi" w:cstheme="majorHAnsi"/>
          <w:b/>
          <w:sz w:val="24"/>
          <w:szCs w:val="24"/>
        </w:rPr>
        <w:t xml:space="preserve">Hình </w:t>
      </w:r>
      <w:r w:rsidR="00814126" w:rsidRPr="00625A8B">
        <w:rPr>
          <w:rFonts w:asciiTheme="majorHAnsi" w:hAnsiTheme="majorHAnsi" w:cstheme="majorHAnsi"/>
          <w:b/>
          <w:sz w:val="24"/>
          <w:szCs w:val="24"/>
        </w:rPr>
        <w:t>1</w:t>
      </w:r>
      <w:r w:rsidRPr="00625A8B">
        <w:rPr>
          <w:rFonts w:asciiTheme="majorHAnsi" w:hAnsiTheme="majorHAnsi" w:cstheme="majorHAnsi"/>
          <w:b/>
          <w:sz w:val="24"/>
          <w:szCs w:val="24"/>
        </w:rPr>
        <w:t>: Chu trình khóa</w:t>
      </w:r>
    </w:p>
    <w:p w:rsidR="008438B4" w:rsidRPr="00625A8B" w:rsidRDefault="008438B4" w:rsidP="008438B4">
      <w:pPr>
        <w:spacing w:before="60" w:after="0"/>
        <w:jc w:val="right"/>
        <w:rPr>
          <w:rFonts w:asciiTheme="majorHAnsi" w:hAnsiTheme="majorHAnsi" w:cstheme="majorHAnsi"/>
          <w:sz w:val="26"/>
          <w:szCs w:val="26"/>
        </w:rPr>
      </w:pPr>
      <w:r w:rsidRPr="00625A8B">
        <w:rPr>
          <w:rFonts w:asciiTheme="majorHAnsi" w:hAnsiTheme="majorHAnsi" w:cstheme="majorHAnsi"/>
          <w:i/>
          <w:sz w:val="26"/>
          <w:szCs w:val="26"/>
        </w:rPr>
        <w:t>Nguồn:</w:t>
      </w:r>
      <w:r w:rsidRPr="00625A8B">
        <w:rPr>
          <w:rFonts w:asciiTheme="majorHAnsi" w:hAnsiTheme="majorHAnsi" w:cstheme="majorHAnsi"/>
          <w:sz w:val="26"/>
          <w:szCs w:val="26"/>
        </w:rPr>
        <w:t xml:space="preserve"> Shapiro &amp; Varian, 1999</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 Chu trình bắt đầu khi người dùng chọn một sản phẩm mới </w:t>
      </w:r>
      <w:r w:rsidRPr="00625A8B">
        <w:rPr>
          <w:rFonts w:asciiTheme="majorHAnsi" w:hAnsiTheme="majorHAnsi" w:cstheme="majorHAnsi"/>
          <w:i/>
          <w:sz w:val="26"/>
          <w:szCs w:val="26"/>
        </w:rPr>
        <w:t>(giai đoạn lựa chọn thương hiệu)</w:t>
      </w:r>
      <w:r w:rsidRPr="00625A8B">
        <w:rPr>
          <w:rFonts w:asciiTheme="majorHAnsi" w:hAnsiTheme="majorHAnsi" w:cstheme="majorHAnsi"/>
          <w:sz w:val="26"/>
          <w:szCs w:val="26"/>
        </w:rPr>
        <w:t>. Điều này có thể là bất cứ cái gì, từ việc trở thành người dùng dịch vụ mạng xã hội, đăng ký dịch vụ phát trực tuyến nhạc, xây dựng mạng di động 5G mới hoặc mua điện thoại thông minh mới. Đối với nhà cung cấp, điều quan trọng là phải có tầm nhìn xa hơn trên thị trường và có danh tiếng tốt hơn so với các đối thủ cạnh tranh. Sau đó, điều này làm tăng khả năng nhà cung cấp nằm trong số các thương hiệu mà khách hàng có thể khám phá thêm.</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lastRenderedPageBreak/>
        <w:t xml:space="preserve">- Trong </w:t>
      </w:r>
      <w:r w:rsidRPr="00625A8B">
        <w:rPr>
          <w:rFonts w:asciiTheme="majorHAnsi" w:hAnsiTheme="majorHAnsi" w:cstheme="majorHAnsi"/>
          <w:i/>
          <w:sz w:val="26"/>
          <w:szCs w:val="26"/>
        </w:rPr>
        <w:t>giai đoạn lấy mẫu</w:t>
      </w:r>
      <w:r w:rsidRPr="00625A8B">
        <w:rPr>
          <w:rFonts w:asciiTheme="majorHAnsi" w:hAnsiTheme="majorHAnsi" w:cstheme="majorHAnsi"/>
          <w:sz w:val="26"/>
          <w:szCs w:val="26"/>
        </w:rPr>
        <w:t>, khách hàng có thể bắt đầu sử dụng thương hiệu mới mà không có điều kiện ràng buộc hoặc, trong trường hợp mua số lượng lớn, bắt đầu thương lượng về giá cả, số lượng, điều kiện giao hàng và các điều kiện hợp đồng khác với một hoặc nhiều nhà cung cấp. Nhà cung cấp có thể đưa ra những khuyến khích để kích thích người dùng dùng thử sản phẩm, chẳng hạn như cung cấp dịch vụ miễn phí trong một thời gian, hoặc cung cấp các mẫu sản phẩm miễn phí. Điều này cũng có thể bao gồm chi phí bồi thường liên quan đến việc chuyển đổi từ nhà cung cấp khác. Mặt khác, khách hàng nên cân nhắc cả khả năng xảy ra và hậu quả của việc bị bó buộc vào một sản phẩm cụ thể và ước tính chi phí sau này chuyển sang nhà cung cấp khác.</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 </w:t>
      </w:r>
      <w:r w:rsidRPr="00625A8B">
        <w:rPr>
          <w:rFonts w:asciiTheme="majorHAnsi" w:hAnsiTheme="majorHAnsi" w:cstheme="majorHAnsi"/>
          <w:i/>
          <w:sz w:val="26"/>
          <w:szCs w:val="26"/>
        </w:rPr>
        <w:t xml:space="preserve">Giai đoạn củng cố </w:t>
      </w:r>
      <w:r w:rsidRPr="00625A8B">
        <w:rPr>
          <w:rFonts w:asciiTheme="majorHAnsi" w:hAnsiTheme="majorHAnsi" w:cstheme="majorHAnsi"/>
          <w:sz w:val="26"/>
          <w:szCs w:val="26"/>
        </w:rPr>
        <w:t>bắt đầu khi khách hàng</w:t>
      </w:r>
      <w:r w:rsidR="001C0B7D">
        <w:rPr>
          <w:rFonts w:asciiTheme="majorHAnsi" w:hAnsiTheme="majorHAnsi" w:cstheme="majorHAnsi"/>
          <w:sz w:val="26"/>
          <w:szCs w:val="26"/>
        </w:rPr>
        <w:t xml:space="preserve"> </w:t>
      </w:r>
      <w:r w:rsidRPr="00625A8B">
        <w:rPr>
          <w:rFonts w:asciiTheme="majorHAnsi" w:hAnsiTheme="majorHAnsi" w:cstheme="majorHAnsi"/>
          <w:sz w:val="26"/>
          <w:szCs w:val="26"/>
        </w:rPr>
        <w:t xml:space="preserve">chọn một </w:t>
      </w:r>
      <w:r w:rsidR="001C0B7D">
        <w:rPr>
          <w:rFonts w:asciiTheme="majorHAnsi" w:hAnsiTheme="majorHAnsi" w:cstheme="majorHAnsi"/>
          <w:sz w:val="26"/>
          <w:szCs w:val="26"/>
        </w:rPr>
        <w:t>thương</w:t>
      </w:r>
      <w:r w:rsidRPr="00625A8B">
        <w:rPr>
          <w:rFonts w:asciiTheme="majorHAnsi" w:hAnsiTheme="majorHAnsi" w:cstheme="majorHAnsi"/>
          <w:sz w:val="26"/>
          <w:szCs w:val="26"/>
        </w:rPr>
        <w:t xml:space="preserve"> hiệu cụ thể. Chiến lược đối với nhà cung cấp là xây dựng các cơ chế hoặc khuyến khích làm tăng dần chi phí chuyển đổi của khách hàng. Lưu ý rằng đối thủ cạnh tranh luôn có thể bù đắp cho chi phí chuyển đổi tiền tệ như đã giải thích ở trên. Do đó, các cơ chế khóa hiệu quả nhất là những cơ chế liên quan đến mất mát không thể thu hồi (thực hoặc tưởng tượng) đối với tài sản như thông tin.</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 Trong </w:t>
      </w:r>
      <w:r w:rsidRPr="00625A8B">
        <w:rPr>
          <w:rFonts w:asciiTheme="majorHAnsi" w:hAnsiTheme="majorHAnsi" w:cstheme="majorHAnsi"/>
          <w:i/>
          <w:sz w:val="26"/>
          <w:szCs w:val="26"/>
        </w:rPr>
        <w:t xml:space="preserve">giai đoạn khóa </w:t>
      </w:r>
      <w:r w:rsidRPr="00625A8B">
        <w:rPr>
          <w:rFonts w:asciiTheme="majorHAnsi" w:hAnsiTheme="majorHAnsi" w:cstheme="majorHAnsi"/>
          <w:sz w:val="26"/>
          <w:szCs w:val="26"/>
        </w:rPr>
        <w:t>chi phí chuyển đổi của khách hàng đã trở nên đáng kể, không khuyến khích khách hàng chuyển sang nhà cung cấp khác.</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Các nhà cung cấp có thể sử dụng chu trình khóa như một công cụ trong việc lập kế hoạch và phân tích chiến lược.</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Các quyết định được đưa ra ở mỗi giai đoạn của chu trình có thể ảnh hưởng đến sự tăng trưởng của cơ sở khách hàng và doanh thu trong tương lai. Trong giai đoạn lựa chọn thương hiệu và lấy mẫu, điều quan trọng là phải thu hút những khách hàng có khả năng chi trả cao và tránh những khách hàng tạo ra doanh thu không đáng kể. Trong giai đoạn củng cố, nhà cung cấp phải xây dựng các cơ chế không khuyến khích khách hàng chuyển sang nhà cung cấp khác, ví dụ, khiến khách hàng phụ thuộc vào thông tin và thủ tục mà đối thủ cạnh tranh không thể cung cấp.</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Sau đó, sơ đồ có thể được sử dụng để hình dung sự phụ thuộc vào đường đi xảy ra như thế nào và giữ khách hàng ở các trạng thái khóa khác nhau.</w:t>
      </w:r>
    </w:p>
    <w:p w:rsidR="008438B4" w:rsidRPr="00625A8B" w:rsidRDefault="008438B4" w:rsidP="008438B4">
      <w:pPr>
        <w:spacing w:before="120" w:after="0"/>
        <w:jc w:val="both"/>
        <w:rPr>
          <w:rFonts w:asciiTheme="majorHAnsi" w:hAnsiTheme="majorHAnsi" w:cstheme="majorHAnsi"/>
          <w:b/>
          <w:sz w:val="26"/>
          <w:szCs w:val="26"/>
        </w:rPr>
      </w:pPr>
      <w:r w:rsidRPr="00625A8B">
        <w:rPr>
          <w:rFonts w:asciiTheme="majorHAnsi" w:hAnsiTheme="majorHAnsi" w:cstheme="majorHAnsi"/>
          <w:b/>
          <w:sz w:val="26"/>
          <w:szCs w:val="26"/>
        </w:rPr>
        <w:t>5</w:t>
      </w:r>
      <w:r w:rsidR="00814126" w:rsidRPr="00625A8B">
        <w:rPr>
          <w:rFonts w:asciiTheme="majorHAnsi" w:hAnsiTheme="majorHAnsi" w:cstheme="majorHAnsi"/>
          <w:b/>
          <w:sz w:val="26"/>
          <w:szCs w:val="26"/>
        </w:rPr>
        <w:t>.</w:t>
      </w:r>
      <w:r w:rsidRPr="00625A8B">
        <w:rPr>
          <w:rFonts w:asciiTheme="majorHAnsi" w:hAnsiTheme="majorHAnsi" w:cstheme="majorHAnsi"/>
          <w:b/>
          <w:sz w:val="26"/>
          <w:szCs w:val="26"/>
        </w:rPr>
        <w:t xml:space="preserve"> Hiệu ứng mạng và chu trình khóa</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Hiệu ứng mạng là một trong những cơ chế khóa mạnh nhất, thường dẫn đến độc quyền trên thực tế. Đây thường không phải là khóa do nhà cung cấp kiểm soát, mà là do phản hồi tích cực tự nhiên, mạnh mẽ từ thị trường ủng hộ một dịch vụ hoặc công nghệ cụ thể (ví dụ: Facebook so với Myspace).</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Ví dụ nổi bật nhất về một công ty được hưởng lợi từ hiệu ứng mạng mạnh mẽ là Facebook. Facebook đã phát triển thành độc quyền vì hiệu ứng mạng mạnh mẽ kết hợp với sự thành thạo trong việc hình thành các nhóm “bạn bè” hiệu quả và phổ biến thông tin nhanh chóng trong các nhóm. Các nhà cung cấp khác hầu như không thể tung ra một dịch vụ tương tự hoặc tốt hơn. Để làm được như vậy, nhà cung cấp phải cung cấp thứ gì đó mang lại cho người dùng trải nghiệm tốt hơn và ít nhất phải có khả năng xây dựng </w:t>
      </w:r>
      <w:r w:rsidRPr="00625A8B">
        <w:rPr>
          <w:rFonts w:asciiTheme="majorHAnsi" w:hAnsiTheme="majorHAnsi" w:cstheme="majorHAnsi"/>
          <w:sz w:val="26"/>
          <w:szCs w:val="26"/>
        </w:rPr>
        <w:lastRenderedPageBreak/>
        <w:t>cộng đồng chuyên nghiệp như Facebook. Người dùng cũng phải có khả năng chuyển ít nhất một phần nội dung Facebook của họ sang website mới để chuyển sang nhà cung cấp dịch vụ mới. Nếu không, người dùng có thể mất thông tin mà họ đã xây dựng theo thời gian. Đối với người dùng, việc mất thông tin có thể là lý do chính để không chuyển sang một dịch vụ tương tự do nhà cung cấp khác cung cấp.</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YouTube thu hút người dùng - cả người xem và nhà xuất bản - vì sự phổ biến của dịch vụ (hiệu ứng đám đông) và hiệu ứng mạng mạnh mẽ liên quan đến các bài đánh giá, đề xuất và xếp hạng của những người xem khác. Điều này cũng dẫn đến hạn chế vì các đối thủ cạnh tranh xây dựng một dịch vụ cạnh tranh sẽ cho phép người dùng truy cập vào một lượng lớn nội dung video như vậy và cung cấp nhiều khả năng hiển thị cho các nhà xuất bản tài liệu video mới.</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Việc khóa một công nghệ cũng thường do hiệu ứng mạng. Hai ví dụ được trích dẫn nhiều nhất là việc sử dụng bàn phím QWERTY (xem Hộp </w:t>
      </w:r>
      <w:r w:rsidR="00814126" w:rsidRPr="00625A8B">
        <w:rPr>
          <w:rFonts w:asciiTheme="majorHAnsi" w:hAnsiTheme="majorHAnsi" w:cstheme="majorHAnsi"/>
          <w:sz w:val="26"/>
          <w:szCs w:val="26"/>
        </w:rPr>
        <w:t>4</w:t>
      </w:r>
      <w:r w:rsidRPr="00625A8B">
        <w:rPr>
          <w:rFonts w:asciiTheme="majorHAnsi" w:hAnsiTheme="majorHAnsi" w:cstheme="majorHAnsi"/>
          <w:sz w:val="26"/>
          <w:szCs w:val="26"/>
        </w:rPr>
        <w:t>) và VHS làm tiêu chuẩn băng video</w:t>
      </w:r>
      <w:r w:rsidR="00814126" w:rsidRPr="00625A8B">
        <w:rPr>
          <w:rFonts w:asciiTheme="majorHAnsi" w:hAnsiTheme="majorHAnsi" w:cstheme="majorHAnsi"/>
          <w:sz w:val="26"/>
          <w:szCs w:val="26"/>
        </w:rPr>
        <w:t>.</w:t>
      </w:r>
      <w:r w:rsidRPr="00625A8B">
        <w:rPr>
          <w:rFonts w:asciiTheme="majorHAnsi" w:hAnsiTheme="majorHAnsi" w:cstheme="majorHAnsi"/>
          <w:sz w:val="26"/>
          <w:szCs w:val="26"/>
        </w:rPr>
        <w:t xml:space="preserve"> </w:t>
      </w:r>
    </w:p>
    <w:tbl>
      <w:tblPr>
        <w:tblStyle w:val="TableGrid"/>
        <w:tblW w:w="0" w:type="auto"/>
        <w:tblLook w:val="04A0" w:firstRow="1" w:lastRow="0" w:firstColumn="1" w:lastColumn="0" w:noHBand="0" w:noVBand="1"/>
      </w:tblPr>
      <w:tblGrid>
        <w:gridCol w:w="9003"/>
      </w:tblGrid>
      <w:tr w:rsidR="008438B4" w:rsidRPr="00625A8B" w:rsidTr="00AD3975">
        <w:tc>
          <w:tcPr>
            <w:tcW w:w="9003" w:type="dxa"/>
          </w:tcPr>
          <w:p w:rsidR="008438B4" w:rsidRPr="00625A8B" w:rsidRDefault="008438B4" w:rsidP="00AD3975">
            <w:pPr>
              <w:spacing w:before="120" w:line="276" w:lineRule="auto"/>
              <w:ind w:firstLine="426"/>
              <w:rPr>
                <w:rFonts w:asciiTheme="majorHAnsi" w:hAnsiTheme="majorHAnsi" w:cstheme="majorHAnsi"/>
                <w:b/>
                <w:i/>
                <w:sz w:val="26"/>
                <w:szCs w:val="26"/>
              </w:rPr>
            </w:pPr>
            <w:r w:rsidRPr="00625A8B">
              <w:rPr>
                <w:rFonts w:asciiTheme="majorHAnsi" w:hAnsiTheme="majorHAnsi" w:cstheme="majorHAnsi"/>
                <w:b/>
                <w:i/>
                <w:sz w:val="26"/>
                <w:szCs w:val="26"/>
              </w:rPr>
              <w:t xml:space="preserve">Hộp </w:t>
            </w:r>
            <w:r w:rsidR="00814126" w:rsidRPr="00625A8B">
              <w:rPr>
                <w:rFonts w:asciiTheme="majorHAnsi" w:hAnsiTheme="majorHAnsi" w:cstheme="majorHAnsi"/>
                <w:b/>
                <w:i/>
                <w:sz w:val="26"/>
                <w:szCs w:val="26"/>
              </w:rPr>
              <w:t>4</w:t>
            </w:r>
            <w:r w:rsidRPr="00625A8B">
              <w:rPr>
                <w:rFonts w:asciiTheme="majorHAnsi" w:hAnsiTheme="majorHAnsi" w:cstheme="majorHAnsi"/>
                <w:b/>
                <w:i/>
                <w:sz w:val="26"/>
                <w:szCs w:val="26"/>
              </w:rPr>
              <w:t>: Bàn phím QWERTY</w:t>
            </w:r>
          </w:p>
          <w:p w:rsidR="008438B4" w:rsidRPr="00625A8B" w:rsidRDefault="008438B4" w:rsidP="0079060C">
            <w:pPr>
              <w:spacing w:before="120" w:line="276" w:lineRule="auto"/>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Hầu hết các bàn phím được sử dụng ngày nay đều tuân theo bố cục QWERTY. Cách bố trí này thường được áp dụng vào cuối thế kỷ 19 sau sự thành công của máy chữ Remington 2. Bố cục QWERTY cụ thể đã được lựa chọn để giúp máy chữ hoạt động trơn tru nhất có thể và tránh làm kẹt các thanh kim loại trong máy khi hai chữ cái được gõ liên tiếp. Việc thực thi một tiêu chuẩn, chẳng hạn như bố cục QWERTY cho bàn phím, là có lợi - mặc dù không nhất thiết - cho cả người dùng bàn phím và nhà sản xuất bàn phím. Tuy nhiên, kể từ khi bố cục QWERTY trở nên thống trị, rất khó để các bố cục cạnh tranh tham gia thị trường vì chi phí chuyển đổi tăng lên do ngày càng nhiều người dùng chấp nhận và được đào tạo về bố cục QWERTY. Cách bố trí được hiển thị trong Hình </w:t>
            </w:r>
            <w:r w:rsidR="00CC3E2B" w:rsidRPr="00625A8B">
              <w:rPr>
                <w:rFonts w:asciiTheme="majorHAnsi" w:hAnsiTheme="majorHAnsi" w:cstheme="majorHAnsi"/>
                <w:sz w:val="26"/>
                <w:szCs w:val="26"/>
              </w:rPr>
              <w:t>2</w:t>
            </w:r>
            <w:r w:rsidRPr="00625A8B">
              <w:rPr>
                <w:rFonts w:asciiTheme="majorHAnsi" w:hAnsiTheme="majorHAnsi" w:cstheme="majorHAnsi"/>
                <w:sz w:val="26"/>
                <w:szCs w:val="26"/>
              </w:rPr>
              <w:t>.</w:t>
            </w:r>
          </w:p>
          <w:p w:rsidR="008438B4" w:rsidRPr="00625A8B" w:rsidRDefault="008438B4" w:rsidP="0079060C">
            <w:pPr>
              <w:spacing w:before="120" w:line="276" w:lineRule="auto"/>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Bố cục DVORAK cạnh tranh (Hình </w:t>
            </w:r>
            <w:r w:rsidR="00CC3E2B" w:rsidRPr="00625A8B">
              <w:rPr>
                <w:rFonts w:asciiTheme="majorHAnsi" w:hAnsiTheme="majorHAnsi" w:cstheme="majorHAnsi"/>
                <w:sz w:val="26"/>
                <w:szCs w:val="26"/>
              </w:rPr>
              <w:t>3</w:t>
            </w:r>
            <w:r w:rsidRPr="00625A8B">
              <w:rPr>
                <w:rFonts w:asciiTheme="majorHAnsi" w:hAnsiTheme="majorHAnsi" w:cstheme="majorHAnsi"/>
                <w:sz w:val="26"/>
                <w:szCs w:val="26"/>
              </w:rPr>
              <w:t>) đã được cấp bằng sáng chế vào năm 1936 bởi Dr. August Dvorak. Theo nhiều người, nó được cho là vượt trội hơn so với bố cục QWERTY về tốc độ gõ.</w:t>
            </w:r>
          </w:p>
          <w:p w:rsidR="008438B4" w:rsidRPr="00625A8B" w:rsidRDefault="008438B4" w:rsidP="0079060C">
            <w:pPr>
              <w:spacing w:before="120" w:line="276" w:lineRule="auto"/>
              <w:ind w:firstLine="567"/>
              <w:jc w:val="both"/>
              <w:rPr>
                <w:rFonts w:asciiTheme="majorHAnsi" w:hAnsiTheme="majorHAnsi" w:cstheme="majorHAnsi"/>
                <w:sz w:val="26"/>
                <w:szCs w:val="26"/>
              </w:rPr>
            </w:pPr>
            <w:r w:rsidRPr="00625A8B">
              <w:rPr>
                <w:rFonts w:asciiTheme="majorHAnsi" w:hAnsiTheme="majorHAnsi" w:cstheme="majorHAnsi"/>
                <w:sz w:val="26"/>
                <w:szCs w:val="26"/>
              </w:rPr>
              <w:t>Tuy nhiên, khi ra mắt, nó đã không có được chỗ đứng trên thị trường do chi phí chuyển đổi cao và việc khóa QWERTY. Vì bố cục QWERTY đã có vị trí thống trị trên thị trường nên thật khó để thuyết phục cả người dùng tìm hiểu và các nhà sản xuất sản xuất bàn phím với bố cục DVORAK. Ngày nay, hầu hết tất cả PC, máy tính xách tay và điện thoại thông minh đều sử dụng bố cục QWERTY.</w:t>
            </w:r>
          </w:p>
          <w:p w:rsidR="008438B4" w:rsidRPr="00625A8B" w:rsidRDefault="008438B4" w:rsidP="0079060C">
            <w:pPr>
              <w:spacing w:before="120" w:line="276" w:lineRule="auto"/>
              <w:ind w:firstLine="567"/>
              <w:jc w:val="both"/>
              <w:rPr>
                <w:rFonts w:asciiTheme="majorHAnsi" w:hAnsiTheme="majorHAnsi" w:cstheme="majorHAnsi"/>
                <w:sz w:val="26"/>
                <w:szCs w:val="26"/>
              </w:rPr>
            </w:pPr>
            <w:r w:rsidRPr="00625A8B">
              <w:rPr>
                <w:rFonts w:asciiTheme="majorHAnsi" w:hAnsiTheme="majorHAnsi" w:cstheme="majorHAnsi"/>
                <w:sz w:val="26"/>
                <w:szCs w:val="26"/>
              </w:rPr>
              <w:t xml:space="preserve">Việc lựa chọn bố cục bàn phím QWERTY làm tiêu chuẩn cũng là một ví dụ về sự phụ thuộc vào đường đi. Quyết định ban đầu áp dụng bố cục QWERTY, một điều hoàn toàn hợp lý vào thời điểm đó, đã khóa các thiết kế bàn phím vào một con đường sẽ vô cùng khó khăn, nếu không muốn nói là không thể rời đi. Việc áp dụng bố cục bàn phím DVORAK sẽ tốt hơn cho xã hội nói chung (mặc dù có nhiều người tranh cãi phỏng đoán này, tuy nhiên, chi phí chuyển đổi hiện quá lớn để phục hồi </w:t>
            </w:r>
            <w:r w:rsidRPr="00625A8B">
              <w:rPr>
                <w:rFonts w:asciiTheme="majorHAnsi" w:hAnsiTheme="majorHAnsi" w:cstheme="majorHAnsi"/>
                <w:sz w:val="26"/>
                <w:szCs w:val="26"/>
              </w:rPr>
              <w:lastRenderedPageBreak/>
              <w:t>DVORAK).</w:t>
            </w:r>
          </w:p>
          <w:p w:rsidR="008438B4" w:rsidRPr="00625A8B" w:rsidRDefault="008438B4" w:rsidP="00AD3975">
            <w:pPr>
              <w:spacing w:before="120" w:line="276" w:lineRule="auto"/>
              <w:jc w:val="center"/>
              <w:rPr>
                <w:rFonts w:asciiTheme="majorHAnsi" w:hAnsiTheme="majorHAnsi" w:cstheme="majorHAnsi"/>
                <w:sz w:val="26"/>
                <w:szCs w:val="26"/>
              </w:rPr>
            </w:pPr>
            <w:r w:rsidRPr="00625A8B">
              <w:rPr>
                <w:noProof/>
                <w:sz w:val="26"/>
                <w:szCs w:val="26"/>
                <w:lang w:eastAsia="vi-VN"/>
              </w:rPr>
              <w:drawing>
                <wp:inline distT="0" distB="0" distL="0" distR="0" wp14:anchorId="76ABE132" wp14:editId="3AEB220B">
                  <wp:extent cx="3817620" cy="135636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17620" cy="1356360"/>
                          </a:xfrm>
                          <a:prstGeom prst="rect">
                            <a:avLst/>
                          </a:prstGeom>
                        </pic:spPr>
                      </pic:pic>
                    </a:graphicData>
                  </a:graphic>
                </wp:inline>
              </w:drawing>
            </w:r>
          </w:p>
          <w:p w:rsidR="008438B4" w:rsidRPr="00625A8B" w:rsidRDefault="008438B4" w:rsidP="00AD3975">
            <w:pPr>
              <w:spacing w:before="120"/>
              <w:jc w:val="center"/>
              <w:rPr>
                <w:rFonts w:asciiTheme="majorHAnsi" w:hAnsiTheme="majorHAnsi" w:cstheme="majorHAnsi"/>
                <w:b/>
                <w:sz w:val="24"/>
                <w:szCs w:val="24"/>
              </w:rPr>
            </w:pPr>
            <w:r w:rsidRPr="00625A8B">
              <w:rPr>
                <w:rFonts w:asciiTheme="majorHAnsi" w:hAnsiTheme="majorHAnsi" w:cstheme="majorHAnsi"/>
                <w:b/>
                <w:sz w:val="24"/>
                <w:szCs w:val="24"/>
              </w:rPr>
              <w:t xml:space="preserve">Hình </w:t>
            </w:r>
            <w:r w:rsidR="00CC3E2B" w:rsidRPr="00625A8B">
              <w:rPr>
                <w:rFonts w:asciiTheme="majorHAnsi" w:hAnsiTheme="majorHAnsi" w:cstheme="majorHAnsi"/>
                <w:b/>
                <w:sz w:val="24"/>
                <w:szCs w:val="24"/>
              </w:rPr>
              <w:t>2</w:t>
            </w:r>
            <w:r w:rsidRPr="00625A8B">
              <w:rPr>
                <w:rFonts w:asciiTheme="majorHAnsi" w:hAnsiTheme="majorHAnsi" w:cstheme="majorHAnsi"/>
                <w:b/>
                <w:sz w:val="24"/>
                <w:szCs w:val="24"/>
              </w:rPr>
              <w:t xml:space="preserve">: Bố cục QWERTY ban đầu </w:t>
            </w:r>
          </w:p>
          <w:p w:rsidR="008438B4" w:rsidRPr="00625A8B" w:rsidRDefault="008438B4" w:rsidP="00AD3975">
            <w:pPr>
              <w:spacing w:before="60" w:after="240"/>
              <w:jc w:val="right"/>
              <w:rPr>
                <w:rFonts w:asciiTheme="majorHAnsi" w:hAnsiTheme="majorHAnsi" w:cstheme="majorHAnsi"/>
                <w:sz w:val="26"/>
                <w:szCs w:val="26"/>
              </w:rPr>
            </w:pPr>
            <w:r w:rsidRPr="00625A8B">
              <w:rPr>
                <w:rFonts w:asciiTheme="majorHAnsi" w:hAnsiTheme="majorHAnsi" w:cstheme="majorHAnsi"/>
                <w:b/>
                <w:sz w:val="26"/>
                <w:szCs w:val="26"/>
              </w:rPr>
              <w:t xml:space="preserve">                                  </w:t>
            </w:r>
            <w:r w:rsidR="00625A8B">
              <w:rPr>
                <w:rFonts w:asciiTheme="majorHAnsi" w:hAnsiTheme="majorHAnsi" w:cstheme="majorHAnsi"/>
                <w:b/>
                <w:sz w:val="26"/>
                <w:szCs w:val="26"/>
              </w:rPr>
              <w:t xml:space="preserve">           </w:t>
            </w:r>
            <w:r w:rsidRPr="00625A8B">
              <w:rPr>
                <w:rFonts w:asciiTheme="majorHAnsi" w:hAnsiTheme="majorHAnsi" w:cstheme="majorHAnsi"/>
                <w:i/>
                <w:sz w:val="26"/>
                <w:szCs w:val="26"/>
              </w:rPr>
              <w:t>Nguồn:</w:t>
            </w:r>
            <w:r w:rsidRPr="00625A8B">
              <w:rPr>
                <w:rFonts w:asciiTheme="majorHAnsi" w:hAnsiTheme="majorHAnsi" w:cstheme="majorHAnsi"/>
                <w:sz w:val="26"/>
                <w:szCs w:val="26"/>
              </w:rPr>
              <w:t xml:space="preserve"> geekhack.org/index.php?topic=61586.0</w:t>
            </w:r>
          </w:p>
          <w:p w:rsidR="008438B4" w:rsidRPr="00625A8B" w:rsidRDefault="008438B4" w:rsidP="0079060C">
            <w:pPr>
              <w:spacing w:before="120" w:line="276" w:lineRule="auto"/>
              <w:ind w:firstLine="567"/>
              <w:jc w:val="both"/>
              <w:rPr>
                <w:rFonts w:asciiTheme="majorHAnsi" w:hAnsiTheme="majorHAnsi" w:cstheme="majorHAnsi"/>
                <w:sz w:val="26"/>
                <w:szCs w:val="26"/>
              </w:rPr>
            </w:pPr>
            <w:r w:rsidRPr="00625A8B">
              <w:rPr>
                <w:rFonts w:asciiTheme="majorHAnsi" w:hAnsiTheme="majorHAnsi" w:cstheme="majorHAnsi"/>
                <w:sz w:val="26"/>
                <w:szCs w:val="26"/>
              </w:rPr>
              <w:t>Lưu ý rằng trong bố cục trên số "0" và số "1" được cố ý thiếu để đơn giản hóa thiết kế. Số “</w:t>
            </w:r>
            <w:smartTag w:uri="urn:schemas-microsoft-com:office:smarttags" w:element="metricconverter">
              <w:smartTagPr>
                <w:attr w:name="ProductID" w:val="0”"/>
              </w:smartTagPr>
              <w:r w:rsidRPr="00625A8B">
                <w:rPr>
                  <w:rFonts w:asciiTheme="majorHAnsi" w:hAnsiTheme="majorHAnsi" w:cstheme="majorHAnsi"/>
                  <w:sz w:val="26"/>
                  <w:szCs w:val="26"/>
                </w:rPr>
                <w:t>0”</w:t>
              </w:r>
            </w:smartTag>
            <w:r w:rsidRPr="00625A8B">
              <w:rPr>
                <w:rFonts w:asciiTheme="majorHAnsi" w:hAnsiTheme="majorHAnsi" w:cstheme="majorHAnsi"/>
                <w:sz w:val="26"/>
                <w:szCs w:val="26"/>
              </w:rPr>
              <w:t xml:space="preserve"> có thể được tái tạo thành chữ “O” trong khi số “</w:t>
            </w:r>
            <w:smartTag w:uri="urn:schemas-microsoft-com:office:smarttags" w:element="metricconverter">
              <w:smartTagPr>
                <w:attr w:name="ProductID" w:val="1”"/>
              </w:smartTagPr>
              <w:r w:rsidRPr="00625A8B">
                <w:rPr>
                  <w:rFonts w:asciiTheme="majorHAnsi" w:hAnsiTheme="majorHAnsi" w:cstheme="majorHAnsi"/>
                  <w:sz w:val="26"/>
                  <w:szCs w:val="26"/>
                </w:rPr>
                <w:t>1”</w:t>
              </w:r>
            </w:smartTag>
            <w:r w:rsidRPr="00625A8B">
              <w:rPr>
                <w:rFonts w:asciiTheme="majorHAnsi" w:hAnsiTheme="majorHAnsi" w:cstheme="majorHAnsi"/>
                <w:sz w:val="26"/>
                <w:szCs w:val="26"/>
              </w:rPr>
              <w:t xml:space="preserve"> có thể được tái tạo thành chữ “I” hoặc chữ “</w:t>
            </w:r>
            <w:r w:rsidR="00CC3E2B" w:rsidRPr="00625A8B">
              <w:rPr>
                <w:rFonts w:asciiTheme="majorHAnsi" w:hAnsiTheme="majorHAnsi" w:cstheme="majorHAnsi"/>
                <w:sz w:val="26"/>
                <w:szCs w:val="26"/>
              </w:rPr>
              <w:t>i</w:t>
            </w:r>
            <w:r w:rsidRPr="00625A8B">
              <w:rPr>
                <w:rFonts w:asciiTheme="majorHAnsi" w:hAnsiTheme="majorHAnsi" w:cstheme="majorHAnsi"/>
                <w:sz w:val="26"/>
                <w:szCs w:val="26"/>
              </w:rPr>
              <w:t>”.</w:t>
            </w:r>
          </w:p>
          <w:p w:rsidR="008438B4" w:rsidRPr="00625A8B" w:rsidRDefault="008438B4" w:rsidP="00AD3975">
            <w:pPr>
              <w:spacing w:before="60" w:after="240"/>
              <w:jc w:val="center"/>
              <w:rPr>
                <w:rFonts w:asciiTheme="majorHAnsi" w:hAnsiTheme="majorHAnsi" w:cstheme="majorHAnsi"/>
                <w:sz w:val="26"/>
                <w:szCs w:val="26"/>
              </w:rPr>
            </w:pPr>
            <w:r w:rsidRPr="00625A8B">
              <w:rPr>
                <w:rFonts w:asciiTheme="majorHAnsi" w:hAnsiTheme="majorHAnsi" w:cstheme="majorHAnsi"/>
                <w:noProof/>
                <w:sz w:val="26"/>
                <w:szCs w:val="26"/>
                <w:lang w:eastAsia="vi-VN"/>
              </w:rPr>
              <w:drawing>
                <wp:inline distT="0" distB="0" distL="0" distR="0" wp14:anchorId="6985C29B" wp14:editId="4B87A081">
                  <wp:extent cx="4198620" cy="188976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198984" cy="1889924"/>
                          </a:xfrm>
                          <a:prstGeom prst="rect">
                            <a:avLst/>
                          </a:prstGeom>
                        </pic:spPr>
                      </pic:pic>
                    </a:graphicData>
                  </a:graphic>
                </wp:inline>
              </w:drawing>
            </w:r>
          </w:p>
          <w:p w:rsidR="008438B4" w:rsidRPr="00625A8B" w:rsidRDefault="008438B4" w:rsidP="00625A8B">
            <w:pPr>
              <w:spacing w:before="120"/>
              <w:jc w:val="center"/>
              <w:rPr>
                <w:rFonts w:asciiTheme="majorHAnsi" w:hAnsiTheme="majorHAnsi" w:cstheme="majorHAnsi"/>
                <w:b/>
                <w:sz w:val="24"/>
                <w:szCs w:val="24"/>
              </w:rPr>
            </w:pPr>
            <w:r w:rsidRPr="00625A8B">
              <w:rPr>
                <w:rFonts w:asciiTheme="majorHAnsi" w:hAnsiTheme="majorHAnsi" w:cstheme="majorHAnsi"/>
                <w:b/>
                <w:sz w:val="24"/>
                <w:szCs w:val="24"/>
              </w:rPr>
              <w:t xml:space="preserve">Hình </w:t>
            </w:r>
            <w:r w:rsidR="00CC3E2B" w:rsidRPr="00625A8B">
              <w:rPr>
                <w:rFonts w:asciiTheme="majorHAnsi" w:hAnsiTheme="majorHAnsi" w:cstheme="majorHAnsi"/>
                <w:b/>
                <w:sz w:val="24"/>
                <w:szCs w:val="24"/>
              </w:rPr>
              <w:t>3</w:t>
            </w:r>
            <w:r w:rsidRPr="00625A8B">
              <w:rPr>
                <w:rFonts w:asciiTheme="majorHAnsi" w:hAnsiTheme="majorHAnsi" w:cstheme="majorHAnsi"/>
                <w:b/>
                <w:sz w:val="24"/>
                <w:szCs w:val="24"/>
              </w:rPr>
              <w:t>: Bố cục bàn phím DVORAK ban đầu</w:t>
            </w:r>
          </w:p>
          <w:p w:rsidR="008438B4" w:rsidRPr="00625A8B" w:rsidRDefault="008438B4" w:rsidP="00CF1E2B">
            <w:pPr>
              <w:spacing w:before="60" w:after="60"/>
              <w:jc w:val="right"/>
              <w:rPr>
                <w:rFonts w:asciiTheme="majorHAnsi" w:hAnsiTheme="majorHAnsi" w:cstheme="majorHAnsi"/>
                <w:sz w:val="26"/>
                <w:szCs w:val="26"/>
              </w:rPr>
            </w:pPr>
            <w:r w:rsidRPr="00625A8B">
              <w:rPr>
                <w:rFonts w:asciiTheme="majorHAnsi" w:hAnsiTheme="majorHAnsi" w:cstheme="majorHAnsi"/>
                <w:b/>
                <w:sz w:val="26"/>
                <w:szCs w:val="26"/>
              </w:rPr>
              <w:t xml:space="preserve">                                </w:t>
            </w:r>
            <w:r w:rsidRPr="00625A8B">
              <w:rPr>
                <w:rFonts w:asciiTheme="majorHAnsi" w:hAnsiTheme="majorHAnsi" w:cstheme="majorHAnsi"/>
                <w:i/>
                <w:sz w:val="26"/>
                <w:szCs w:val="26"/>
              </w:rPr>
              <w:t>Nguồn:</w:t>
            </w:r>
            <w:r w:rsidRPr="00625A8B">
              <w:rPr>
                <w:rFonts w:asciiTheme="majorHAnsi" w:hAnsiTheme="majorHAnsi" w:cstheme="majorHAnsi"/>
                <w:sz w:val="26"/>
                <w:szCs w:val="26"/>
              </w:rPr>
              <w:t xml:space="preserve"> Public  domain, </w:t>
            </w:r>
            <w:hyperlink r:id="rId9" w:history="1">
              <w:r w:rsidRPr="00625A8B">
                <w:rPr>
                  <w:rStyle w:val="Hyperlink"/>
                  <w:rFonts w:asciiTheme="majorHAnsi" w:hAnsiTheme="majorHAnsi" w:cstheme="majorHAnsi"/>
                  <w:sz w:val="26"/>
                  <w:szCs w:val="26"/>
                </w:rPr>
                <w:t>https://en.wikipedia.org/</w:t>
              </w:r>
            </w:hyperlink>
            <w:r w:rsidRPr="00625A8B">
              <w:rPr>
                <w:rStyle w:val="Hyperlink"/>
                <w:rFonts w:asciiTheme="majorHAnsi" w:hAnsiTheme="majorHAnsi" w:cstheme="majorHAnsi"/>
                <w:sz w:val="26"/>
                <w:szCs w:val="26"/>
              </w:rPr>
              <w:t xml:space="preserve"> </w:t>
            </w:r>
            <w:r w:rsidRPr="00625A8B">
              <w:rPr>
                <w:rFonts w:asciiTheme="majorHAnsi" w:hAnsiTheme="majorHAnsi" w:cstheme="majorHAnsi"/>
                <w:sz w:val="26"/>
                <w:szCs w:val="26"/>
              </w:rPr>
              <w:t>wiki/Dvorak_ keyboard_layout#/media/File:KB_ United_States_Dvorak.svg</w:t>
            </w:r>
          </w:p>
        </w:tc>
      </w:tr>
    </w:tbl>
    <w:p w:rsidR="008438B4" w:rsidRPr="00625A8B" w:rsidRDefault="008438B4" w:rsidP="008438B4">
      <w:pPr>
        <w:spacing w:before="240" w:after="0"/>
        <w:jc w:val="both"/>
        <w:rPr>
          <w:rFonts w:asciiTheme="majorHAnsi" w:hAnsiTheme="majorHAnsi" w:cstheme="majorHAnsi"/>
          <w:b/>
          <w:sz w:val="26"/>
          <w:szCs w:val="26"/>
        </w:rPr>
      </w:pPr>
      <w:r w:rsidRPr="00625A8B">
        <w:rPr>
          <w:rFonts w:asciiTheme="majorHAnsi" w:hAnsiTheme="majorHAnsi" w:cstheme="majorHAnsi"/>
          <w:b/>
          <w:sz w:val="26"/>
          <w:szCs w:val="26"/>
        </w:rPr>
        <w:lastRenderedPageBreak/>
        <w:t>6</w:t>
      </w:r>
      <w:r w:rsidR="00814126" w:rsidRPr="00625A8B">
        <w:rPr>
          <w:rFonts w:asciiTheme="majorHAnsi" w:hAnsiTheme="majorHAnsi" w:cstheme="majorHAnsi"/>
          <w:b/>
          <w:sz w:val="26"/>
          <w:szCs w:val="26"/>
        </w:rPr>
        <w:t>.</w:t>
      </w:r>
      <w:r w:rsidRPr="00625A8B">
        <w:rPr>
          <w:rFonts w:asciiTheme="majorHAnsi" w:hAnsiTheme="majorHAnsi" w:cstheme="majorHAnsi"/>
          <w:b/>
          <w:sz w:val="26"/>
          <w:szCs w:val="26"/>
        </w:rPr>
        <w:t xml:space="preserve"> Các quy định về khóa và thị trường</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Một trong những khía cạnh quan trọng nhất của quy định thị trường là giảm khả năng khóa của các nhà cung cấp dịch vụ nhằm tăng cường cạnh tranh. Ví dụ về các quy định này bao gồm:</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Giới hạn thời gian ràng buộc cho các đăng ký (ví dụ: trong viễn thông);</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Cấm làm mất lợi thế (ví dụ, trong bảo hiểm);</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Bắt buộc khả năng chuyển đổi của số điện thoại trong viễn thông;</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i/>
          <w:sz w:val="26"/>
          <w:szCs w:val="26"/>
        </w:rPr>
        <w:t>Khả năng chuyển đổi</w:t>
      </w:r>
      <w:r w:rsidRPr="00625A8B">
        <w:rPr>
          <w:rFonts w:asciiTheme="majorHAnsi" w:hAnsiTheme="majorHAnsi" w:cstheme="majorHAnsi"/>
          <w:sz w:val="26"/>
          <w:szCs w:val="26"/>
        </w:rPr>
        <w:t xml:space="preserve"> </w:t>
      </w:r>
      <w:r w:rsidRPr="00625A8B">
        <w:rPr>
          <w:rFonts w:asciiTheme="majorHAnsi" w:hAnsiTheme="majorHAnsi" w:cstheme="majorHAnsi"/>
          <w:i/>
          <w:sz w:val="26"/>
          <w:szCs w:val="26"/>
        </w:rPr>
        <w:t xml:space="preserve">của số điện thoại trong viễn thông: </w:t>
      </w:r>
      <w:r w:rsidRPr="00625A8B">
        <w:rPr>
          <w:rFonts w:asciiTheme="majorHAnsi" w:hAnsiTheme="majorHAnsi" w:cstheme="majorHAnsi"/>
          <w:sz w:val="26"/>
          <w:szCs w:val="26"/>
        </w:rPr>
        <w:t xml:space="preserve">Cả số điện thoại cố định và di động đều có lịch sử nhận dạng duy nhất đối với nhà vận hành và thuê bao được kết nối với mạng. Do đó, nếu có nhiều hơn một nhà vận hành điện thoại trong một quốc gia, thì mỗi nhà vận hành được gán một dãy số điện thoại quốc gia khác nhau. Trong chế độ này, chủ thuê bao sẽ có số điện thoại mới nếu chuyển thuê bao từ nhà vận hành này sang nhà vận hành khác. Điều này gây bất tiện cho thuê bao và gây ra tình trạng khóa mạng vì có thể khiến hàng trăm bạn bè và các liên hệ khác phải cập nhật về đầu số mới. Để tránh </w:t>
      </w:r>
      <w:r w:rsidRPr="00625A8B">
        <w:rPr>
          <w:rFonts w:asciiTheme="majorHAnsi" w:hAnsiTheme="majorHAnsi" w:cstheme="majorHAnsi"/>
          <w:sz w:val="26"/>
          <w:szCs w:val="26"/>
        </w:rPr>
        <w:lastRenderedPageBreak/>
        <w:t>kiểu khóa này, các cơ quan quản lý ở một số quốc gia đã đưa ra yêu cầu bắt buộc phải chuyển số vào khoảng năm 2000. Điều này ngụ ý rằng thuê bao vẫn giữ nguyên số nếu thuê bao được chuyển sang nhà vận hành khác. Sau đó, các mạng phải được cập nhật với các phương tiện định tuyến cuộc gọi đến các điểm đến mới mà không có bất kỳ sự tham gia nào của người sử dụng mạng điện thoại.</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Trong lĩnh vực viễn thông, một số nhà cung cấp, đặc biệt là các nhà vận hành đương nhiệm hoặc chi phối, đang phải đối mặt với một hình thức khóa chặt cụ thể, đó là họ phải tiếp tục cung cấp các dịch vụ mạng sau khi các dịch vụ này không còn mang lại lợi nhuận. Đây thường là một nhiệm vụ công cộng được thực thi bởi các cơ quan có thẩm quyền. Ví dụ, các nhà cung cấp mạng vẫn phải cung cấp dịch vụ điện thoại cố định mặc dù ngày càng có nhiều người dùng chuyển sang sử dụng điện thoại di động làm thuê bao điện thoại duy nhất của họ và các nhà vận hành mạng di động vẫn phải hỗ trợ GSM mặc dù họ đã phủ sóng toàn quốc với công nghệ 4G.</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Bảng 1 tóm tắt cách áp dụng các quy định để tránh các hành vi thị trường bị khóa và không mong muốn. Ảnh hưởng của các rào cản chuyển đổi cũng được chỉ ra theo hai loại chính:</w:t>
      </w:r>
    </w:p>
    <w:p w:rsidR="008438B4" w:rsidRPr="00625A8B" w:rsidRDefault="008438B4" w:rsidP="000F0094">
      <w:pPr>
        <w:spacing w:before="60" w:after="60" w:line="240" w:lineRule="auto"/>
        <w:jc w:val="center"/>
        <w:rPr>
          <w:rFonts w:asciiTheme="majorHAnsi" w:hAnsiTheme="majorHAnsi" w:cstheme="majorHAnsi"/>
          <w:b/>
          <w:sz w:val="24"/>
          <w:szCs w:val="24"/>
        </w:rPr>
      </w:pPr>
      <w:r w:rsidRPr="00625A8B">
        <w:rPr>
          <w:rFonts w:asciiTheme="majorHAnsi" w:hAnsiTheme="majorHAnsi" w:cstheme="majorHAnsi"/>
          <w:b/>
          <w:sz w:val="24"/>
          <w:szCs w:val="24"/>
        </w:rPr>
        <w:t>Bảng 1: Khóa và các quy định trong nền kinh tế số</w:t>
      </w:r>
    </w:p>
    <w:tbl>
      <w:tblPr>
        <w:tblStyle w:val="TableGrid"/>
        <w:tblW w:w="0" w:type="auto"/>
        <w:tblInd w:w="108" w:type="dxa"/>
        <w:tblLook w:val="04A0" w:firstRow="1" w:lastRow="0" w:firstColumn="1" w:lastColumn="0" w:noHBand="0" w:noVBand="1"/>
      </w:tblPr>
      <w:tblGrid>
        <w:gridCol w:w="1701"/>
        <w:gridCol w:w="1843"/>
        <w:gridCol w:w="2693"/>
        <w:gridCol w:w="2460"/>
      </w:tblGrid>
      <w:tr w:rsidR="008438B4" w:rsidRPr="00625A8B" w:rsidTr="000F0094">
        <w:tc>
          <w:tcPr>
            <w:tcW w:w="1701" w:type="dxa"/>
          </w:tcPr>
          <w:p w:rsidR="008438B4" w:rsidRPr="000F0094" w:rsidRDefault="008438B4" w:rsidP="00AD3975">
            <w:pPr>
              <w:spacing w:before="40" w:after="40"/>
              <w:jc w:val="center"/>
              <w:rPr>
                <w:rFonts w:asciiTheme="majorHAnsi" w:hAnsiTheme="majorHAnsi" w:cstheme="majorHAnsi"/>
                <w:b/>
                <w:sz w:val="24"/>
                <w:szCs w:val="24"/>
              </w:rPr>
            </w:pPr>
            <w:r w:rsidRPr="000F0094">
              <w:rPr>
                <w:rFonts w:asciiTheme="majorHAnsi" w:hAnsiTheme="majorHAnsi" w:cstheme="majorHAnsi"/>
                <w:b/>
                <w:sz w:val="24"/>
                <w:szCs w:val="24"/>
              </w:rPr>
              <w:t>Cơ chế khóa</w:t>
            </w:r>
          </w:p>
        </w:tc>
        <w:tc>
          <w:tcPr>
            <w:tcW w:w="1843" w:type="dxa"/>
          </w:tcPr>
          <w:p w:rsidR="008438B4" w:rsidRPr="000F0094" w:rsidRDefault="008438B4" w:rsidP="00AD3975">
            <w:pPr>
              <w:spacing w:before="40" w:after="40"/>
              <w:jc w:val="center"/>
              <w:rPr>
                <w:rFonts w:asciiTheme="majorHAnsi" w:hAnsiTheme="majorHAnsi" w:cstheme="majorHAnsi"/>
                <w:b/>
                <w:sz w:val="24"/>
                <w:szCs w:val="24"/>
              </w:rPr>
            </w:pPr>
            <w:r w:rsidRPr="000F0094">
              <w:rPr>
                <w:rFonts w:asciiTheme="majorHAnsi" w:hAnsiTheme="majorHAnsi" w:cstheme="majorHAnsi"/>
                <w:b/>
                <w:sz w:val="24"/>
                <w:szCs w:val="24"/>
              </w:rPr>
              <w:t>Quy định</w:t>
            </w:r>
          </w:p>
        </w:tc>
        <w:tc>
          <w:tcPr>
            <w:tcW w:w="2693" w:type="dxa"/>
          </w:tcPr>
          <w:p w:rsidR="008438B4" w:rsidRPr="000F0094" w:rsidRDefault="008438B4" w:rsidP="00AD3975">
            <w:pPr>
              <w:spacing w:before="40" w:after="40"/>
              <w:jc w:val="center"/>
              <w:rPr>
                <w:rFonts w:asciiTheme="majorHAnsi" w:hAnsiTheme="majorHAnsi" w:cstheme="majorHAnsi"/>
                <w:b/>
                <w:sz w:val="24"/>
                <w:szCs w:val="24"/>
              </w:rPr>
            </w:pPr>
            <w:r w:rsidRPr="000F0094">
              <w:rPr>
                <w:rFonts w:asciiTheme="majorHAnsi" w:hAnsiTheme="majorHAnsi" w:cstheme="majorHAnsi"/>
                <w:b/>
                <w:sz w:val="24"/>
                <w:szCs w:val="24"/>
              </w:rPr>
              <w:t>Rào cản chuyển đổi nếu không được quy định</w:t>
            </w:r>
          </w:p>
        </w:tc>
        <w:tc>
          <w:tcPr>
            <w:tcW w:w="2460" w:type="dxa"/>
          </w:tcPr>
          <w:p w:rsidR="008438B4" w:rsidRPr="000F0094" w:rsidRDefault="008438B4" w:rsidP="00AD3975">
            <w:pPr>
              <w:spacing w:before="40" w:after="40"/>
              <w:jc w:val="center"/>
              <w:rPr>
                <w:rFonts w:asciiTheme="majorHAnsi" w:hAnsiTheme="majorHAnsi" w:cstheme="majorHAnsi"/>
                <w:b/>
                <w:sz w:val="24"/>
                <w:szCs w:val="24"/>
              </w:rPr>
            </w:pPr>
            <w:r w:rsidRPr="000F0094">
              <w:rPr>
                <w:rFonts w:asciiTheme="majorHAnsi" w:hAnsiTheme="majorHAnsi" w:cstheme="majorHAnsi"/>
                <w:b/>
                <w:sz w:val="24"/>
                <w:szCs w:val="24"/>
              </w:rPr>
              <w:t>Hành động quản lý</w:t>
            </w: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Phụ tùng và bảo trì</w:t>
            </w:r>
          </w:p>
        </w:tc>
        <w:tc>
          <w:tcPr>
            <w:tcW w:w="1843" w:type="dxa"/>
          </w:tcPr>
          <w:p w:rsidR="008438B4" w:rsidRPr="00625A8B" w:rsidRDefault="008438B4" w:rsidP="00AD3975">
            <w:pPr>
              <w:spacing w:before="40" w:after="40"/>
              <w:rPr>
                <w:rFonts w:asciiTheme="majorHAnsi" w:hAnsiTheme="majorHAnsi" w:cstheme="majorHAnsi"/>
                <w:sz w:val="26"/>
                <w:szCs w:val="26"/>
                <w:lang w:val="en-US"/>
              </w:rPr>
            </w:pPr>
            <w:r w:rsidRPr="00625A8B">
              <w:rPr>
                <w:rFonts w:asciiTheme="majorHAnsi" w:hAnsiTheme="majorHAnsi" w:cstheme="majorHAnsi"/>
                <w:sz w:val="26"/>
                <w:szCs w:val="26"/>
              </w:rPr>
              <w:t xml:space="preserve">Không </w:t>
            </w:r>
            <w:r w:rsidRPr="00625A8B">
              <w:rPr>
                <w:rFonts w:asciiTheme="majorHAnsi" w:hAnsiTheme="majorHAnsi" w:cstheme="majorHAnsi"/>
                <w:sz w:val="26"/>
                <w:szCs w:val="26"/>
                <w:lang w:val="en-US"/>
              </w:rPr>
              <w:t>khả quan</w:t>
            </w:r>
          </w:p>
        </w:tc>
        <w:tc>
          <w:tcPr>
            <w:tcW w:w="269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Đắt đối với khách hàng</w:t>
            </w:r>
          </w:p>
        </w:tc>
        <w:tc>
          <w:tcPr>
            <w:tcW w:w="2460" w:type="dxa"/>
          </w:tcPr>
          <w:p w:rsidR="008438B4" w:rsidRPr="00625A8B" w:rsidRDefault="008438B4" w:rsidP="00AD3975">
            <w:pPr>
              <w:spacing w:before="40" w:after="40"/>
              <w:rPr>
                <w:rFonts w:asciiTheme="majorHAnsi" w:hAnsiTheme="majorHAnsi" w:cstheme="majorHAnsi"/>
                <w:sz w:val="26"/>
                <w:szCs w:val="26"/>
              </w:rPr>
            </w:pP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Đào tạo</w:t>
            </w:r>
          </w:p>
        </w:tc>
        <w:tc>
          <w:tcPr>
            <w:tcW w:w="184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 xml:space="preserve">Không </w:t>
            </w:r>
            <w:r w:rsidRPr="00625A8B">
              <w:rPr>
                <w:rFonts w:asciiTheme="majorHAnsi" w:hAnsiTheme="majorHAnsi" w:cstheme="majorHAnsi"/>
                <w:sz w:val="26"/>
                <w:szCs w:val="26"/>
                <w:lang w:val="en-US"/>
              </w:rPr>
              <w:t>khả quan</w:t>
            </w:r>
          </w:p>
        </w:tc>
        <w:tc>
          <w:tcPr>
            <w:tcW w:w="269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Đắt đối với khách hàng</w:t>
            </w:r>
          </w:p>
        </w:tc>
        <w:tc>
          <w:tcPr>
            <w:tcW w:w="2460" w:type="dxa"/>
          </w:tcPr>
          <w:p w:rsidR="008438B4" w:rsidRPr="00625A8B" w:rsidRDefault="008438B4" w:rsidP="00AD3975">
            <w:pPr>
              <w:spacing w:before="40" w:after="40"/>
              <w:rPr>
                <w:rFonts w:asciiTheme="majorHAnsi" w:hAnsiTheme="majorHAnsi" w:cstheme="majorHAnsi"/>
                <w:sz w:val="26"/>
                <w:szCs w:val="26"/>
              </w:rPr>
            </w:pP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Không tương thích</w:t>
            </w:r>
          </w:p>
        </w:tc>
        <w:tc>
          <w:tcPr>
            <w:tcW w:w="184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Một số quy định nhưng hầu hết không được kiểm soát</w:t>
            </w:r>
          </w:p>
        </w:tc>
        <w:tc>
          <w:tcPr>
            <w:tcW w:w="269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Đắt đối với khách hàng trừ khi trong các trường hợp quy định</w:t>
            </w:r>
          </w:p>
        </w:tc>
        <w:tc>
          <w:tcPr>
            <w:tcW w:w="2460"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Luật pháp yêu cầu khả năng tương tác trong một số trường hợp nhất định (mạng viễn thông) và giữa các ASP và ISP</w:t>
            </w: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Mất thông tin</w:t>
            </w:r>
          </w:p>
        </w:tc>
        <w:tc>
          <w:tcPr>
            <w:tcW w:w="184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 xml:space="preserve">Không </w:t>
            </w:r>
            <w:r w:rsidRPr="00625A8B">
              <w:rPr>
                <w:rFonts w:asciiTheme="majorHAnsi" w:hAnsiTheme="majorHAnsi" w:cstheme="majorHAnsi"/>
                <w:sz w:val="26"/>
                <w:szCs w:val="26"/>
                <w:lang w:val="en-US"/>
              </w:rPr>
              <w:t>khả quan</w:t>
            </w:r>
          </w:p>
        </w:tc>
        <w:tc>
          <w:tcPr>
            <w:tcW w:w="2693" w:type="dxa"/>
          </w:tcPr>
          <w:p w:rsidR="008438B4" w:rsidRPr="00625A8B" w:rsidRDefault="008438B4" w:rsidP="00AD3975">
            <w:pPr>
              <w:spacing w:before="40" w:after="40"/>
              <w:ind w:right="-108"/>
              <w:rPr>
                <w:rFonts w:asciiTheme="majorHAnsi" w:hAnsiTheme="majorHAnsi" w:cstheme="majorHAnsi"/>
                <w:sz w:val="26"/>
                <w:szCs w:val="26"/>
              </w:rPr>
            </w:pPr>
            <w:r w:rsidRPr="00625A8B">
              <w:rPr>
                <w:rFonts w:asciiTheme="majorHAnsi" w:hAnsiTheme="majorHAnsi" w:cstheme="majorHAnsi"/>
                <w:sz w:val="26"/>
                <w:szCs w:val="26"/>
              </w:rPr>
              <w:t>Có thể tốn kém cho khách hàng; trong nhiều trường hợp rào cản tâm lý</w:t>
            </w:r>
          </w:p>
        </w:tc>
        <w:tc>
          <w:tcPr>
            <w:tcW w:w="2460" w:type="dxa"/>
          </w:tcPr>
          <w:p w:rsidR="008438B4" w:rsidRPr="00625A8B" w:rsidRDefault="008438B4" w:rsidP="00AD3975">
            <w:pPr>
              <w:spacing w:before="40" w:after="40"/>
              <w:rPr>
                <w:rFonts w:asciiTheme="majorHAnsi" w:hAnsiTheme="majorHAnsi" w:cstheme="majorHAnsi"/>
                <w:sz w:val="26"/>
                <w:szCs w:val="26"/>
              </w:rPr>
            </w:pP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Thời gian tồn tại kinh tế</w:t>
            </w:r>
          </w:p>
        </w:tc>
        <w:tc>
          <w:tcPr>
            <w:tcW w:w="184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 xml:space="preserve">Không </w:t>
            </w:r>
            <w:r w:rsidRPr="00625A8B">
              <w:rPr>
                <w:rFonts w:asciiTheme="majorHAnsi" w:hAnsiTheme="majorHAnsi" w:cstheme="majorHAnsi"/>
                <w:sz w:val="26"/>
                <w:szCs w:val="26"/>
                <w:lang w:val="en-US"/>
              </w:rPr>
              <w:t>khả quan</w:t>
            </w:r>
          </w:p>
        </w:tc>
        <w:tc>
          <w:tcPr>
            <w:tcW w:w="269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Đắt đối với khách hàng</w:t>
            </w:r>
          </w:p>
        </w:tc>
        <w:tc>
          <w:tcPr>
            <w:tcW w:w="2460" w:type="dxa"/>
          </w:tcPr>
          <w:p w:rsidR="008438B4" w:rsidRPr="00625A8B" w:rsidRDefault="008438B4" w:rsidP="00AD3975">
            <w:pPr>
              <w:spacing w:before="40" w:after="40"/>
              <w:rPr>
                <w:rFonts w:asciiTheme="majorHAnsi" w:hAnsiTheme="majorHAnsi" w:cstheme="majorHAnsi"/>
                <w:sz w:val="26"/>
                <w:szCs w:val="26"/>
              </w:rPr>
            </w:pP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Hợp đồng</w:t>
            </w:r>
          </w:p>
        </w:tc>
        <w:tc>
          <w:tcPr>
            <w:tcW w:w="184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Có thể được</w:t>
            </w:r>
          </w:p>
        </w:tc>
        <w:tc>
          <w:tcPr>
            <w:tcW w:w="269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Có thể tốn kém cho khách hàng</w:t>
            </w:r>
          </w:p>
        </w:tc>
        <w:tc>
          <w:tcPr>
            <w:tcW w:w="2460"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Có thể được quy định bởi luật (khóa SIM và tính di động của số điện thoại)</w:t>
            </w: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 xml:space="preserve">Các chương trình khách hàng thân </w:t>
            </w:r>
            <w:r w:rsidRPr="00625A8B">
              <w:rPr>
                <w:rFonts w:asciiTheme="majorHAnsi" w:hAnsiTheme="majorHAnsi" w:cstheme="majorHAnsi"/>
                <w:sz w:val="26"/>
                <w:szCs w:val="26"/>
              </w:rPr>
              <w:lastRenderedPageBreak/>
              <w:t>thiết</w:t>
            </w:r>
          </w:p>
        </w:tc>
        <w:tc>
          <w:tcPr>
            <w:tcW w:w="184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lastRenderedPageBreak/>
              <w:t>Có thể được</w:t>
            </w:r>
          </w:p>
        </w:tc>
        <w:tc>
          <w:tcPr>
            <w:tcW w:w="269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Rào cản tâm lý</w:t>
            </w:r>
          </w:p>
        </w:tc>
        <w:tc>
          <w:tcPr>
            <w:tcW w:w="2460"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 xml:space="preserve">Một số chương trình khách hàng thân thiết có thể là bất hợp </w:t>
            </w:r>
            <w:r w:rsidRPr="00625A8B">
              <w:rPr>
                <w:rFonts w:asciiTheme="majorHAnsi" w:hAnsiTheme="majorHAnsi" w:cstheme="majorHAnsi"/>
                <w:sz w:val="26"/>
                <w:szCs w:val="26"/>
              </w:rPr>
              <w:lastRenderedPageBreak/>
              <w:t>pháp theo luật</w:t>
            </w: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lastRenderedPageBreak/>
              <w:t>Gói hàng hóa, dịch vụ</w:t>
            </w:r>
          </w:p>
        </w:tc>
        <w:tc>
          <w:tcPr>
            <w:tcW w:w="184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Có thể được</w:t>
            </w:r>
          </w:p>
        </w:tc>
        <w:tc>
          <w:tcPr>
            <w:tcW w:w="269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Rào cản tâm lý</w:t>
            </w:r>
          </w:p>
        </w:tc>
        <w:tc>
          <w:tcPr>
            <w:tcW w:w="2460"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Có thể là bất hợp pháp theo luật trong một số trường hợp, ví dụ: gói các dịch vụ ASP được cung cấp bởi các ISP thống trị thị trường</w:t>
            </w: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Thuật toán tìm kiếm</w:t>
            </w:r>
          </w:p>
        </w:tc>
        <w:tc>
          <w:tcPr>
            <w:tcW w:w="184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Có thể được</w:t>
            </w:r>
          </w:p>
        </w:tc>
        <w:tc>
          <w:tcPr>
            <w:tcW w:w="269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Thuận tiện cho khách hàng</w:t>
            </w:r>
          </w:p>
        </w:tc>
        <w:tc>
          <w:tcPr>
            <w:tcW w:w="2460"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Không quy định</w:t>
            </w:r>
          </w:p>
        </w:tc>
      </w:tr>
      <w:tr w:rsidR="008438B4" w:rsidRPr="00625A8B" w:rsidTr="000F0094">
        <w:tc>
          <w:tcPr>
            <w:tcW w:w="1701"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Ràng buộc sản phẩm</w:t>
            </w:r>
          </w:p>
        </w:tc>
        <w:tc>
          <w:tcPr>
            <w:tcW w:w="1843"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Có thể được</w:t>
            </w:r>
          </w:p>
        </w:tc>
        <w:tc>
          <w:tcPr>
            <w:tcW w:w="2693" w:type="dxa"/>
          </w:tcPr>
          <w:p w:rsidR="008438B4" w:rsidRPr="00625A8B" w:rsidRDefault="008438B4" w:rsidP="00AD3975">
            <w:pPr>
              <w:spacing w:before="40" w:after="40"/>
              <w:ind w:right="-108"/>
              <w:rPr>
                <w:rFonts w:asciiTheme="majorHAnsi" w:hAnsiTheme="majorHAnsi" w:cstheme="majorHAnsi"/>
                <w:sz w:val="26"/>
                <w:szCs w:val="26"/>
              </w:rPr>
            </w:pPr>
            <w:r w:rsidRPr="00625A8B">
              <w:rPr>
                <w:rFonts w:asciiTheme="majorHAnsi" w:hAnsiTheme="majorHAnsi" w:cstheme="majorHAnsi"/>
                <w:sz w:val="26"/>
                <w:szCs w:val="26"/>
              </w:rPr>
              <w:t>Có thể không thể được trong nhiều trường hợp</w:t>
            </w:r>
          </w:p>
        </w:tc>
        <w:tc>
          <w:tcPr>
            <w:tcW w:w="2460" w:type="dxa"/>
          </w:tcPr>
          <w:p w:rsidR="008438B4" w:rsidRPr="00625A8B" w:rsidRDefault="008438B4" w:rsidP="00AD3975">
            <w:pPr>
              <w:spacing w:before="40" w:after="40"/>
              <w:rPr>
                <w:rFonts w:asciiTheme="majorHAnsi" w:hAnsiTheme="majorHAnsi" w:cstheme="majorHAnsi"/>
                <w:sz w:val="26"/>
                <w:szCs w:val="26"/>
              </w:rPr>
            </w:pPr>
            <w:r w:rsidRPr="00625A8B">
              <w:rPr>
                <w:rFonts w:asciiTheme="majorHAnsi" w:hAnsiTheme="majorHAnsi" w:cstheme="majorHAnsi"/>
                <w:sz w:val="26"/>
                <w:szCs w:val="26"/>
              </w:rPr>
              <w:t>Nói chung là bị cấm nhưng vẫn có ngoại lệ</w:t>
            </w:r>
          </w:p>
        </w:tc>
      </w:tr>
    </w:tbl>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Rào cản kinh tế ngụ ý rằng có những chi phí kinh tế đáng kể liên quan đến việc vượt qua rào cản.</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Rào cản tâm lý ngụ ý rằng chi phí chuyển đổi lớn có liên quan đến việc thiếu kiến ​​thức về kết quả của việc chuyển đổi, ví dụ như sợ mất thông tin được tích lũy theo thời gian.</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Trong một số trường hợp, không thể điều tiết thị trường làm cho các rào cản chuyển đổi biến mất, ví dụ như các chi phí liên quan đến phụ tùng thay thế, đào tạo, khả năng mất thông tin và tuổi thọ của thiết bị. Trong các trường hợp khác, chi phí chuyển đổi có thể được giảm hoặc loại bỏ bởi các quy định thích hợp.</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Việc chấm dứt hợp đồng mà không có bất kỳ chi phí hoặc bất tiện nào đối với khách hàng trong nhiều trường hợp bắt buộc theo quy định, ví dụ như cấm hoặc hạn chế sử dụng khóa SIM hoặc yêu cầu những lợi ích có được khi khách hàng được chuyển nhượng cho nhà cung cấp mới (ví dụ: trong bảo hiểm việc kinh doanh).</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 Đóng gói dịch vụ cũng được quy định ở một số quốc gia. Một trường hợp liên quan đến các công ty đương nhiệm, đó là các nhà vận hành độc quyền nhà nước trước khi tự do hóa chung về viễn thông vào năm 1998. Để tránh việc các công ty đương nhiệm lạm dụng sức mạnh thị trường của họ, các hạn chế có thể được đưa ra đối với cách các công ty này đóng gói dịch vụ của họ trong các gói thuê bao, v</w:t>
      </w:r>
      <w:r w:rsidR="000F0094">
        <w:rPr>
          <w:rFonts w:asciiTheme="majorHAnsi" w:hAnsiTheme="majorHAnsi" w:cstheme="majorHAnsi"/>
          <w:sz w:val="26"/>
          <w:szCs w:val="26"/>
        </w:rPr>
        <w:t>í</w:t>
      </w:r>
      <w:r w:rsidRPr="00625A8B">
        <w:rPr>
          <w:rFonts w:asciiTheme="majorHAnsi" w:hAnsiTheme="majorHAnsi" w:cstheme="majorHAnsi"/>
          <w:sz w:val="26"/>
          <w:szCs w:val="26"/>
        </w:rPr>
        <w:t xml:space="preserve"> dụ, kết hợp điện thoại, Internet, điện thoại di động và truyền hình trong một gói đăng ký và do đó nắm bắt tất cả các thị trường riêng lẻ. Kết nối vật lý, được gọi là "vòng lặp cục bộ", từ người đăng ký đến bộ chuyển đổi cục bộ thường thuộc sở hữu của các công ty đương nhiệm. Để cho phép các nhà vận hành khác tiếp cận tới các thuê bao mà không cần đào đất lắp đặt các ống dẫn cáp mới, các quy định thị trường yêu cầu nhà vận hành đương nhiệm cho phép các nhà vận hành khác sử dụng kết nối của nhà mạng đương nhiệm. Đây được gọi là </w:t>
      </w:r>
      <w:r w:rsidRPr="00625A8B">
        <w:rPr>
          <w:rFonts w:asciiTheme="majorHAnsi" w:hAnsiTheme="majorHAnsi" w:cstheme="majorHAnsi"/>
          <w:i/>
          <w:sz w:val="26"/>
          <w:szCs w:val="26"/>
        </w:rPr>
        <w:t>tách nhóm vòng lặp cục bộ (Local-Loop Unbundling - LLU)</w:t>
      </w:r>
      <w:r w:rsidRPr="00625A8B">
        <w:rPr>
          <w:rFonts w:asciiTheme="majorHAnsi" w:hAnsiTheme="majorHAnsi" w:cstheme="majorHAnsi"/>
          <w:sz w:val="26"/>
          <w:szCs w:val="26"/>
        </w:rPr>
        <w:t>. LLU trở thành bắt buộc tại Hoa Kỳ vào năm 1996 (Đạo luật Viễn thông năm 1996) và Liên minh Châu Âu vào năm 2001.</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lastRenderedPageBreak/>
        <w:t>Rất khó để điều tiết các thị trường có hiệu ứng mạng mạnh mẽ. Nguyên nhân là do các hiệu ứng mạng có xu hướng tạo ra các công ty độc quyền trên thực tế. Nếu luật chống độc quyền được sử dụng để chia tách các công ty độc quyền như vậy thành hai hoặc nhiều đối thủ cạnh tranh độc lập, thì các hiệu ứng mạng giống nhau có khả năng biến thị trường này thành một thị trường độc quyền mới với chỉ một trong những công ty này sống sót trong cuộc cạnh tranh. Vì những lý do tương tự, việc khuyến kích một doanh nghiệp mới tham gia thị trường cũng không hiệu quả về mặt kinh tế hoặc pháp lý. Trong hầu hết các trường hợp, sự thống trị thị trường của công ty độc quyền hiện tại quá mạnh đến mức người mới tham gia sẽ không bao giờ phát triển để trở thành đối thủ cạnh tranh thực sự, hoặc nếu hiệu ứng mạng có lợi cho người mới tham gia, thì người mới tham gia có thể chiếm toàn bộ thị trường và trở thành một độc quyền mới bóp chết độc quyền cũ và loại độc quyền cũ ra khỏi thị trường.</w:t>
      </w:r>
    </w:p>
    <w:p w:rsidR="008438B4" w:rsidRPr="00625A8B" w:rsidRDefault="008438B4" w:rsidP="008438B4">
      <w:pPr>
        <w:spacing w:before="120" w:after="0"/>
        <w:jc w:val="both"/>
        <w:rPr>
          <w:rFonts w:asciiTheme="majorHAnsi" w:hAnsiTheme="majorHAnsi" w:cstheme="majorHAnsi"/>
          <w:b/>
          <w:sz w:val="26"/>
          <w:szCs w:val="26"/>
        </w:rPr>
      </w:pPr>
      <w:r w:rsidRPr="00625A8B">
        <w:rPr>
          <w:rFonts w:asciiTheme="majorHAnsi" w:hAnsiTheme="majorHAnsi" w:cstheme="majorHAnsi"/>
          <w:b/>
          <w:sz w:val="26"/>
          <w:szCs w:val="26"/>
        </w:rPr>
        <w:t>4.2.7 Kết luận</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Thông điệp quan trọng là khóa mang tính phổ biến trong nền kinh tế số. Đối với các nhà cung cấp, có hai chiến lược:</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1. Giữ khách hàng bằng cách làm cho chi phí chuyển đổi đối với khách hàng (rào cản rời bỏ) càng cao càng tốt</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2. Thu hút khách hàng từ đối thủ cạnh tranh bằng cách làm cho chi phí chuyển đổi khách hàng từ đối thủ cạnh tranh (rào cản gia nhập) càng nhỏ càng tốt</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Các chiến lược này có thể mâu thuẫn với nhau, đặc biệt là trong các thị trường độc quyền. Trong một số trường hợp, điều này có thể dẫn đến tình thế tiến thoái lưỡng nan của tù nhân khi các rào cản chuyển đổi đối với khách hàng thấp, trong khi các nhà cung cấp chịu mọi chi phí chuyển đổi.</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Nếu có sự lựa chọn giữa hai hoặc nhiều tiêu chuẩn công nghệ không tương thích cung cấp cùng một dịch vụ cho người tiêu dùng, chẳng hạn như VHS với Betamax và QWERTY với DVORAK, thị trường cuối cùng chỉ chọn một trong số chúng. Đây là một trường hợp khóa mạnh dẫn đến tình huống người chiến thắng giành tất cả. Việc kết thúc trạng thái này phụ thuộc vào may mắn, sự kiện ngẫu nhiên và hiệu ứng mạng, hay nói cách khác, việc lựa chọn trạng thái cuối cùng phụ thuộc vào đường đi.</w:t>
      </w:r>
    </w:p>
    <w:p w:rsidR="008438B4" w:rsidRPr="00625A8B" w:rsidRDefault="008438B4" w:rsidP="0079060C">
      <w:pPr>
        <w:spacing w:before="120" w:after="0"/>
        <w:ind w:firstLine="567"/>
        <w:jc w:val="both"/>
        <w:rPr>
          <w:rFonts w:asciiTheme="majorHAnsi" w:hAnsiTheme="majorHAnsi" w:cstheme="majorHAnsi"/>
          <w:sz w:val="26"/>
          <w:szCs w:val="26"/>
        </w:rPr>
      </w:pPr>
      <w:r w:rsidRPr="00625A8B">
        <w:rPr>
          <w:rFonts w:asciiTheme="majorHAnsi" w:hAnsiTheme="majorHAnsi" w:cstheme="majorHAnsi"/>
          <w:sz w:val="26"/>
          <w:szCs w:val="26"/>
        </w:rPr>
        <w:t>Các nhà cung cấp dịch vụ mạng xã hội cũng có thể trở thành công ty độc quyền trên thực tế (ví dụ: Facebook). Rào cản chuyển đổi có lợi cho nhà cung cấp do người dùng tự xây dựng bằng cách tạo và tham gia cộng đồng người dùng: càng nhiều cộng đồng người dùng là thành viên thì rào cản tâm lý rời bỏ càng lớn. Facebook là một ví dụ điển hình về trường hợp không có rào cản tiền tệ nào chống lại việc chuyển đổi nhưng lại có những rào cản tâm lý rất lớn.</w:t>
      </w:r>
    </w:p>
    <w:p w:rsidR="00814126" w:rsidRPr="00625A8B" w:rsidRDefault="00814126" w:rsidP="0079060C">
      <w:pPr>
        <w:spacing w:before="120" w:after="0"/>
        <w:ind w:firstLine="567"/>
        <w:jc w:val="both"/>
        <w:rPr>
          <w:rFonts w:asciiTheme="majorHAnsi" w:hAnsiTheme="majorHAnsi" w:cstheme="majorHAnsi"/>
          <w:sz w:val="26"/>
          <w:szCs w:val="26"/>
        </w:rPr>
      </w:pPr>
    </w:p>
    <w:p w:rsidR="00625A8B" w:rsidRDefault="00625A8B" w:rsidP="00814126">
      <w:pPr>
        <w:spacing w:before="120" w:after="0"/>
        <w:jc w:val="both"/>
        <w:rPr>
          <w:rFonts w:asciiTheme="majorHAnsi" w:hAnsiTheme="majorHAnsi" w:cstheme="majorHAnsi"/>
          <w:b/>
          <w:sz w:val="26"/>
          <w:szCs w:val="26"/>
        </w:rPr>
      </w:pPr>
    </w:p>
    <w:p w:rsidR="00913ED9" w:rsidRDefault="00913ED9" w:rsidP="00814126">
      <w:pPr>
        <w:spacing w:before="120" w:after="0"/>
        <w:jc w:val="both"/>
        <w:rPr>
          <w:rFonts w:asciiTheme="majorHAnsi" w:hAnsiTheme="majorHAnsi" w:cstheme="majorHAnsi"/>
          <w:b/>
          <w:sz w:val="26"/>
          <w:szCs w:val="26"/>
        </w:rPr>
      </w:pPr>
    </w:p>
    <w:p w:rsidR="00814126" w:rsidRPr="00625A8B" w:rsidRDefault="00814126" w:rsidP="00814126">
      <w:pPr>
        <w:spacing w:before="120" w:after="0"/>
        <w:jc w:val="both"/>
        <w:rPr>
          <w:rFonts w:asciiTheme="majorHAnsi" w:hAnsiTheme="majorHAnsi" w:cstheme="majorHAnsi"/>
          <w:b/>
          <w:sz w:val="26"/>
          <w:szCs w:val="26"/>
        </w:rPr>
      </w:pPr>
      <w:r w:rsidRPr="00625A8B">
        <w:rPr>
          <w:rFonts w:asciiTheme="majorHAnsi" w:hAnsiTheme="majorHAnsi" w:cstheme="majorHAnsi"/>
          <w:b/>
          <w:sz w:val="26"/>
          <w:szCs w:val="26"/>
        </w:rPr>
        <w:lastRenderedPageBreak/>
        <w:t>TÀI LIỆU THAM KHẢO</w:t>
      </w:r>
    </w:p>
    <w:p w:rsidR="00A92AF5" w:rsidRPr="00625A8B" w:rsidRDefault="00A92AF5" w:rsidP="00E476F8">
      <w:pPr>
        <w:spacing w:beforeLines="20" w:before="48" w:afterLines="20" w:after="48"/>
        <w:ind w:left="426" w:hanging="426"/>
        <w:jc w:val="both"/>
        <w:rPr>
          <w:rFonts w:asciiTheme="majorHAnsi" w:eastAsia="Times New Roman" w:hAnsiTheme="majorHAnsi" w:cstheme="majorHAnsi"/>
          <w:bCs/>
          <w:sz w:val="26"/>
          <w:szCs w:val="26"/>
        </w:rPr>
      </w:pPr>
      <w:r w:rsidRPr="00625A8B">
        <w:rPr>
          <w:rFonts w:asciiTheme="majorHAnsi" w:eastAsia="Times New Roman" w:hAnsiTheme="majorHAnsi" w:cstheme="majorHAnsi"/>
          <w:bCs/>
          <w:sz w:val="26"/>
          <w:szCs w:val="26"/>
        </w:rPr>
        <w:t xml:space="preserve">[1]  Alan Charlesworth (2018), </w:t>
      </w:r>
      <w:r w:rsidRPr="00625A8B">
        <w:rPr>
          <w:rFonts w:asciiTheme="majorHAnsi" w:eastAsia="Times New Roman" w:hAnsiTheme="majorHAnsi" w:cstheme="majorHAnsi"/>
          <w:bCs/>
          <w:i/>
          <w:sz w:val="26"/>
          <w:szCs w:val="26"/>
        </w:rPr>
        <w:t>Digital Marketing - A Practical Approach</w:t>
      </w:r>
      <w:r w:rsidRPr="00625A8B">
        <w:rPr>
          <w:rFonts w:asciiTheme="majorHAnsi" w:eastAsia="Times New Roman" w:hAnsiTheme="majorHAnsi" w:cstheme="majorHAnsi"/>
          <w:bCs/>
          <w:sz w:val="26"/>
          <w:szCs w:val="26"/>
        </w:rPr>
        <w:t>, Routledge.</w:t>
      </w:r>
    </w:p>
    <w:p w:rsidR="00A92AF5" w:rsidRPr="00625A8B" w:rsidRDefault="00A92AF5" w:rsidP="00E476F8">
      <w:pPr>
        <w:spacing w:beforeLines="20" w:before="48" w:afterLines="20" w:after="48"/>
        <w:ind w:left="426" w:hanging="426"/>
        <w:jc w:val="both"/>
        <w:rPr>
          <w:rFonts w:asciiTheme="majorHAnsi" w:eastAsia="Times New Roman" w:hAnsiTheme="majorHAnsi" w:cstheme="majorHAnsi"/>
          <w:bCs/>
          <w:sz w:val="26"/>
          <w:szCs w:val="26"/>
        </w:rPr>
      </w:pPr>
      <w:r w:rsidRPr="00625A8B">
        <w:rPr>
          <w:rFonts w:asciiTheme="majorHAnsi" w:eastAsia="Times New Roman" w:hAnsiTheme="majorHAnsi" w:cstheme="majorHAnsi"/>
          <w:bCs/>
          <w:sz w:val="26"/>
          <w:szCs w:val="26"/>
        </w:rPr>
        <w:t xml:space="preserve">[2] Dave Chaffey, Fiona Ellis-Chadwick (2016), </w:t>
      </w:r>
      <w:r w:rsidRPr="00625A8B">
        <w:rPr>
          <w:rFonts w:asciiTheme="majorHAnsi" w:eastAsia="Times New Roman" w:hAnsiTheme="majorHAnsi" w:cstheme="majorHAnsi"/>
          <w:bCs/>
          <w:i/>
          <w:sz w:val="26"/>
          <w:szCs w:val="26"/>
        </w:rPr>
        <w:t>Digital Marketing: Strategy, Implementation and Practice</w:t>
      </w:r>
      <w:r w:rsidRPr="00625A8B">
        <w:rPr>
          <w:rFonts w:asciiTheme="majorHAnsi" w:eastAsia="Times New Roman" w:hAnsiTheme="majorHAnsi" w:cstheme="majorHAnsi"/>
          <w:bCs/>
          <w:sz w:val="26"/>
          <w:szCs w:val="26"/>
        </w:rPr>
        <w:t>, Pearson Education Ltd.</w:t>
      </w:r>
    </w:p>
    <w:p w:rsidR="005D0F90" w:rsidRPr="00625A8B" w:rsidRDefault="00A92AF5" w:rsidP="00E476F8">
      <w:pPr>
        <w:spacing w:beforeLines="20" w:before="48" w:afterLines="20" w:after="48"/>
        <w:ind w:left="426" w:hanging="426"/>
        <w:jc w:val="both"/>
        <w:rPr>
          <w:rFonts w:asciiTheme="majorHAnsi" w:eastAsia="Times New Roman" w:hAnsiTheme="majorHAnsi" w:cstheme="majorHAnsi"/>
          <w:bCs/>
          <w:sz w:val="26"/>
          <w:szCs w:val="26"/>
        </w:rPr>
      </w:pPr>
      <w:r w:rsidRPr="00625A8B">
        <w:rPr>
          <w:rFonts w:asciiTheme="majorHAnsi" w:eastAsia="Times New Roman" w:hAnsiTheme="majorHAnsi" w:cstheme="majorHAnsi"/>
          <w:bCs/>
          <w:sz w:val="26"/>
          <w:szCs w:val="26"/>
        </w:rPr>
        <w:t xml:space="preserve">[3] </w:t>
      </w:r>
      <w:r w:rsidR="005D0F90" w:rsidRPr="00625A8B">
        <w:rPr>
          <w:rFonts w:asciiTheme="majorHAnsi" w:eastAsia="Times New Roman" w:hAnsiTheme="majorHAnsi" w:cstheme="majorHAnsi"/>
          <w:bCs/>
          <w:sz w:val="26"/>
          <w:szCs w:val="26"/>
        </w:rPr>
        <w:t xml:space="preserve">Harald Øverby, Jan Arild Audestad (2021), </w:t>
      </w:r>
      <w:r w:rsidR="005D0F90" w:rsidRPr="00625A8B">
        <w:rPr>
          <w:rFonts w:asciiTheme="majorHAnsi" w:eastAsia="Times New Roman" w:hAnsiTheme="majorHAnsi" w:cstheme="majorHAnsi"/>
          <w:bCs/>
          <w:i/>
          <w:sz w:val="26"/>
          <w:szCs w:val="26"/>
        </w:rPr>
        <w:t>Introduction to Digital Economics</w:t>
      </w:r>
      <w:r w:rsidR="005D0F90" w:rsidRPr="00625A8B">
        <w:rPr>
          <w:rFonts w:asciiTheme="majorHAnsi" w:eastAsia="Times New Roman" w:hAnsiTheme="majorHAnsi" w:cstheme="majorHAnsi"/>
          <w:bCs/>
          <w:sz w:val="26"/>
          <w:szCs w:val="26"/>
        </w:rPr>
        <w:t>, Springer, 2021.</w:t>
      </w:r>
    </w:p>
    <w:p w:rsidR="005D0F90" w:rsidRPr="00625A8B" w:rsidRDefault="005D0F90" w:rsidP="00814126">
      <w:pPr>
        <w:spacing w:before="120" w:after="0"/>
        <w:jc w:val="both"/>
        <w:rPr>
          <w:rFonts w:asciiTheme="majorHAnsi" w:hAnsiTheme="majorHAnsi" w:cstheme="majorHAnsi"/>
          <w:b/>
          <w:sz w:val="26"/>
          <w:szCs w:val="26"/>
        </w:rPr>
      </w:pPr>
    </w:p>
    <w:p w:rsidR="000A6A7B" w:rsidRPr="00625A8B" w:rsidRDefault="000A6A7B" w:rsidP="00A92AF5">
      <w:pPr>
        <w:spacing w:beforeLines="20" w:before="48" w:afterLines="20" w:after="48"/>
        <w:jc w:val="both"/>
        <w:rPr>
          <w:sz w:val="26"/>
          <w:szCs w:val="26"/>
        </w:rPr>
      </w:pPr>
    </w:p>
    <w:sectPr w:rsidR="000A6A7B" w:rsidRPr="00625A8B" w:rsidSect="00F770E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8A"/>
    <w:rsid w:val="000A6A7B"/>
    <w:rsid w:val="000F0094"/>
    <w:rsid w:val="0011799D"/>
    <w:rsid w:val="001C0B7D"/>
    <w:rsid w:val="00305B72"/>
    <w:rsid w:val="003244A3"/>
    <w:rsid w:val="004F59B0"/>
    <w:rsid w:val="005D0F90"/>
    <w:rsid w:val="00625A8B"/>
    <w:rsid w:val="00723889"/>
    <w:rsid w:val="0079060C"/>
    <w:rsid w:val="00814126"/>
    <w:rsid w:val="008438B4"/>
    <w:rsid w:val="008E552B"/>
    <w:rsid w:val="00913ED9"/>
    <w:rsid w:val="009423A1"/>
    <w:rsid w:val="00A52549"/>
    <w:rsid w:val="00A92AF5"/>
    <w:rsid w:val="00C128FF"/>
    <w:rsid w:val="00C8178A"/>
    <w:rsid w:val="00CC3E2B"/>
    <w:rsid w:val="00CF1E2B"/>
    <w:rsid w:val="00D6779A"/>
    <w:rsid w:val="00DA414E"/>
    <w:rsid w:val="00E476F8"/>
    <w:rsid w:val="00E97D27"/>
    <w:rsid w:val="00EA0D5A"/>
    <w:rsid w:val="00F770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38B4"/>
    <w:rPr>
      <w:color w:val="0000FF" w:themeColor="hyperlink"/>
      <w:u w:val="single"/>
    </w:rPr>
  </w:style>
  <w:style w:type="paragraph" w:styleId="BalloonText">
    <w:name w:val="Balloon Text"/>
    <w:basedOn w:val="Normal"/>
    <w:link w:val="BalloonTextChar"/>
    <w:uiPriority w:val="99"/>
    <w:semiHidden/>
    <w:unhideWhenUsed/>
    <w:rsid w:val="00843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8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3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438B4"/>
    <w:rPr>
      <w:color w:val="0000FF" w:themeColor="hyperlink"/>
      <w:u w:val="single"/>
    </w:rPr>
  </w:style>
  <w:style w:type="paragraph" w:styleId="BalloonText">
    <w:name w:val="Balloon Text"/>
    <w:basedOn w:val="Normal"/>
    <w:link w:val="BalloonTextChar"/>
    <w:uiPriority w:val="99"/>
    <w:semiHidden/>
    <w:unhideWhenUsed/>
    <w:rsid w:val="008438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8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1355</TotalTime>
  <Pages>14</Pages>
  <Words>4959</Words>
  <Characters>28267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18</cp:revision>
  <dcterms:created xsi:type="dcterms:W3CDTF">2023-11-24T02:59:00Z</dcterms:created>
  <dcterms:modified xsi:type="dcterms:W3CDTF">2023-11-29T03:38:00Z</dcterms:modified>
</cp:coreProperties>
</file>