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193"/>
      </w:tblGrid>
      <w:tr w:rsidR="00994525" w:rsidRPr="001375C9" w14:paraId="472C1746" w14:textId="77777777" w:rsidTr="00994525">
        <w:tc>
          <w:tcPr>
            <w:tcW w:w="3823" w:type="dxa"/>
          </w:tcPr>
          <w:p w14:paraId="0D7C92EA" w14:textId="13A26243" w:rsidR="00994525" w:rsidRPr="001375C9" w:rsidRDefault="00994525" w:rsidP="0018324F">
            <w:pPr>
              <w:spacing w:line="360" w:lineRule="auto"/>
              <w:jc w:val="center"/>
              <w:rPr>
                <w:rFonts w:ascii="Times New Roman" w:hAnsi="Times New Roman" w:cs="Times New Roman"/>
                <w:b/>
              </w:rPr>
            </w:pPr>
            <w:r w:rsidRPr="001375C9">
              <w:rPr>
                <w:rFonts w:ascii="Times New Roman" w:hAnsi="Times New Roman" w:cs="Times New Roman"/>
                <w:b/>
              </w:rPr>
              <w:t>KHOA KINH TẾ VÀ QUẢN LÝ</w:t>
            </w:r>
          </w:p>
          <w:p w14:paraId="4E17AAC0" w14:textId="2D922646" w:rsidR="00994525" w:rsidRPr="001375C9" w:rsidRDefault="00994525" w:rsidP="0018324F">
            <w:pPr>
              <w:spacing w:line="276" w:lineRule="auto"/>
              <w:jc w:val="center"/>
              <w:rPr>
                <w:rFonts w:ascii="Times New Roman" w:hAnsi="Times New Roman" w:cs="Times New Roman"/>
                <w:b/>
              </w:rPr>
            </w:pPr>
            <w:r w:rsidRPr="001375C9">
              <w:rPr>
                <w:rFonts w:ascii="Times New Roman" w:hAnsi="Times New Roman" w:cs="Times New Roman"/>
                <w:b/>
              </w:rPr>
              <w:t>BỘ MÔN KẾ TOÁN</w:t>
            </w:r>
          </w:p>
          <w:p w14:paraId="7CFE6748" w14:textId="77777777" w:rsidR="00994525" w:rsidRPr="001375C9" w:rsidRDefault="00994525" w:rsidP="0018324F">
            <w:pPr>
              <w:spacing w:line="276" w:lineRule="auto"/>
              <w:jc w:val="center"/>
              <w:rPr>
                <w:rFonts w:ascii="Times New Roman" w:hAnsi="Times New Roman" w:cs="Times New Roman"/>
                <w:b/>
                <w:bCs/>
                <w:lang w:val="vi-VN"/>
              </w:rPr>
            </w:pPr>
            <w:r w:rsidRPr="001375C9">
              <w:rPr>
                <w:rFonts w:ascii="Times New Roman" w:hAnsi="Times New Roman" w:cs="Times New Roman"/>
              </w:rPr>
              <w:t>--------------------</w:t>
            </w:r>
          </w:p>
        </w:tc>
        <w:tc>
          <w:tcPr>
            <w:tcW w:w="5193" w:type="dxa"/>
            <w:vAlign w:val="center"/>
          </w:tcPr>
          <w:p w14:paraId="0B3CDD5E" w14:textId="77777777" w:rsidR="0018324F" w:rsidRPr="001375C9" w:rsidRDefault="0018324F" w:rsidP="0018324F">
            <w:pPr>
              <w:spacing w:line="360" w:lineRule="auto"/>
              <w:jc w:val="center"/>
              <w:rPr>
                <w:rFonts w:ascii="Times New Roman" w:hAnsi="Times New Roman" w:cs="Times New Roman"/>
                <w:b/>
                <w:color w:val="000000"/>
                <w:lang w:val="vi-VN"/>
              </w:rPr>
            </w:pPr>
            <w:r w:rsidRPr="001375C9">
              <w:rPr>
                <w:rFonts w:ascii="Times New Roman" w:hAnsi="Times New Roman" w:cs="Times New Roman"/>
                <w:b/>
                <w:color w:val="000000"/>
              </w:rPr>
              <w:t>HỘI NGHỊ SINH HOẠT HỌC THUẬT</w:t>
            </w:r>
            <w:r w:rsidRPr="001375C9">
              <w:rPr>
                <w:rFonts w:ascii="Times New Roman" w:hAnsi="Times New Roman" w:cs="Times New Roman"/>
                <w:b/>
                <w:color w:val="000000"/>
                <w:lang w:val="vi-VN"/>
              </w:rPr>
              <w:t xml:space="preserve"> </w:t>
            </w:r>
          </w:p>
          <w:p w14:paraId="2D276E1D" w14:textId="66F97651" w:rsidR="00994525" w:rsidRPr="001375C9" w:rsidRDefault="0018324F" w:rsidP="0018324F">
            <w:pPr>
              <w:spacing w:line="276" w:lineRule="auto"/>
              <w:jc w:val="center"/>
              <w:rPr>
                <w:rFonts w:ascii="Times New Roman" w:hAnsi="Times New Roman" w:cs="Times New Roman"/>
                <w:b/>
                <w:bCs/>
                <w:lang w:val="vi-VN"/>
              </w:rPr>
            </w:pPr>
            <w:r w:rsidRPr="001375C9">
              <w:rPr>
                <w:rFonts w:ascii="Times New Roman" w:hAnsi="Times New Roman" w:cs="Times New Roman"/>
                <w:b/>
                <w:bCs/>
                <w:lang w:val="vi-VN"/>
              </w:rPr>
              <w:t>HỌC KÌ I – NĂM HỌC 2022-2023</w:t>
            </w:r>
          </w:p>
          <w:p w14:paraId="46CD25B3" w14:textId="1C68FAE1" w:rsidR="00994525" w:rsidRPr="001375C9" w:rsidRDefault="00994525" w:rsidP="0018324F">
            <w:pPr>
              <w:spacing w:line="276" w:lineRule="auto"/>
              <w:jc w:val="center"/>
              <w:rPr>
                <w:rFonts w:ascii="Times New Roman" w:hAnsi="Times New Roman" w:cs="Times New Roman"/>
                <w:b/>
                <w:bCs/>
                <w:lang w:val="vi-VN"/>
              </w:rPr>
            </w:pPr>
            <w:r w:rsidRPr="001375C9">
              <w:rPr>
                <w:rFonts w:ascii="Times New Roman" w:hAnsi="Times New Roman" w:cs="Times New Roman"/>
              </w:rPr>
              <w:t>--------------------</w:t>
            </w:r>
            <w:r w:rsidRPr="001375C9">
              <w:rPr>
                <w:rFonts w:ascii="Times New Roman" w:hAnsi="Times New Roman" w:cs="Times New Roman"/>
                <w:lang w:val="vi-VN"/>
              </w:rPr>
              <w:t>--------</w:t>
            </w:r>
          </w:p>
        </w:tc>
      </w:tr>
    </w:tbl>
    <w:p w14:paraId="73167261" w14:textId="7C355679" w:rsidR="009D54BA" w:rsidRPr="001375C9" w:rsidRDefault="009D54BA" w:rsidP="00994525">
      <w:pPr>
        <w:spacing w:line="360" w:lineRule="auto"/>
        <w:jc w:val="both"/>
        <w:rPr>
          <w:rFonts w:ascii="Times New Roman" w:hAnsi="Times New Roman" w:cs="Times New Roman"/>
          <w:b/>
          <w:bCs/>
          <w:lang w:val="vi-VN"/>
        </w:rPr>
      </w:pPr>
    </w:p>
    <w:p w14:paraId="254358AB" w14:textId="77777777" w:rsidR="0018324F" w:rsidRPr="001375C9" w:rsidRDefault="0018324F" w:rsidP="00994525">
      <w:pPr>
        <w:spacing w:line="360" w:lineRule="auto"/>
        <w:jc w:val="both"/>
        <w:rPr>
          <w:rFonts w:ascii="Times New Roman" w:hAnsi="Times New Roman" w:cs="Times New Roman"/>
          <w:b/>
          <w:bCs/>
          <w:lang w:val="vi-VN"/>
        </w:rPr>
      </w:pPr>
    </w:p>
    <w:p w14:paraId="58305797" w14:textId="3BA2F28E" w:rsidR="00A04AF6" w:rsidRPr="001375C9" w:rsidRDefault="00A04AF6" w:rsidP="00994525">
      <w:pPr>
        <w:spacing w:line="360" w:lineRule="auto"/>
        <w:jc w:val="center"/>
        <w:rPr>
          <w:rFonts w:ascii="Times New Roman" w:hAnsi="Times New Roman" w:cs="Times New Roman"/>
          <w:b/>
          <w:bCs/>
          <w:u w:val="single"/>
          <w:lang w:val="vi-VN"/>
        </w:rPr>
      </w:pPr>
      <w:r w:rsidRPr="001375C9">
        <w:rPr>
          <w:rFonts w:ascii="Times New Roman" w:hAnsi="Times New Roman" w:cs="Times New Roman"/>
          <w:b/>
          <w:bCs/>
          <w:u w:val="single"/>
          <w:lang w:val="vi-VN"/>
        </w:rPr>
        <w:t>CHỦ ĐỀ</w:t>
      </w:r>
    </w:p>
    <w:p w14:paraId="043E74CD" w14:textId="122608E8" w:rsidR="00994525" w:rsidRPr="001375C9" w:rsidRDefault="00994525" w:rsidP="00994525">
      <w:pPr>
        <w:spacing w:line="360" w:lineRule="auto"/>
        <w:jc w:val="center"/>
        <w:rPr>
          <w:rFonts w:ascii="Times New Roman" w:hAnsi="Times New Roman" w:cs="Times New Roman"/>
          <w:b/>
          <w:bCs/>
          <w:lang w:val="vi-VN"/>
        </w:rPr>
      </w:pPr>
      <w:r w:rsidRPr="001375C9">
        <w:rPr>
          <w:rFonts w:ascii="Times New Roman" w:hAnsi="Times New Roman" w:cs="Times New Roman"/>
          <w:b/>
          <w:bCs/>
          <w:lang w:val="vi-VN"/>
        </w:rPr>
        <w:t xml:space="preserve">KẾ TOÁN HÀNG TỒN KHO THEO YÊU CẦU CỦA </w:t>
      </w:r>
    </w:p>
    <w:p w14:paraId="4B0C7CFA" w14:textId="524A3775" w:rsidR="00994525" w:rsidRPr="001375C9" w:rsidRDefault="00994525" w:rsidP="00994525">
      <w:pPr>
        <w:spacing w:line="360" w:lineRule="auto"/>
        <w:jc w:val="center"/>
        <w:rPr>
          <w:rFonts w:ascii="Times New Roman" w:hAnsi="Times New Roman" w:cs="Times New Roman"/>
          <w:b/>
          <w:bCs/>
          <w:lang w:val="vi-VN"/>
        </w:rPr>
      </w:pPr>
      <w:r w:rsidRPr="001375C9">
        <w:rPr>
          <w:rFonts w:ascii="Times New Roman" w:hAnsi="Times New Roman" w:cs="Times New Roman"/>
          <w:b/>
          <w:bCs/>
          <w:lang w:val="vi-VN"/>
        </w:rPr>
        <w:t>CHUẨN MỰC KẾ TOÁN QUỐC TẾ IAS 2</w:t>
      </w:r>
    </w:p>
    <w:p w14:paraId="14F4AECE" w14:textId="62EE22F8" w:rsidR="00994525" w:rsidRPr="001375C9" w:rsidRDefault="008805A4" w:rsidP="0018324F">
      <w:pPr>
        <w:spacing w:line="360" w:lineRule="auto"/>
        <w:jc w:val="center"/>
        <w:rPr>
          <w:rFonts w:ascii="Times New Roman" w:hAnsi="Times New Roman" w:cs="Times New Roman"/>
          <w:i/>
          <w:iCs/>
          <w:lang w:val="vi-VN"/>
        </w:rPr>
      </w:pPr>
      <w:r w:rsidRPr="001375C9">
        <w:rPr>
          <w:rFonts w:ascii="Times New Roman" w:hAnsi="Times New Roman" w:cs="Times New Roman"/>
          <w:i/>
          <w:iCs/>
          <w:lang w:val="vi-VN"/>
        </w:rPr>
        <w:t>B</w:t>
      </w:r>
      <w:r w:rsidR="0018324F" w:rsidRPr="001375C9">
        <w:rPr>
          <w:rFonts w:ascii="Times New Roman" w:hAnsi="Times New Roman" w:cs="Times New Roman"/>
          <w:i/>
          <w:iCs/>
          <w:lang w:val="vi-VN"/>
        </w:rPr>
        <w:t>áo cáo</w:t>
      </w:r>
      <w:r w:rsidRPr="001375C9">
        <w:rPr>
          <w:rFonts w:ascii="Times New Roman" w:hAnsi="Times New Roman" w:cs="Times New Roman"/>
          <w:i/>
          <w:iCs/>
          <w:lang w:val="vi-VN"/>
        </w:rPr>
        <w:t xml:space="preserve"> viên</w:t>
      </w:r>
      <w:r w:rsidR="00994525" w:rsidRPr="001375C9">
        <w:rPr>
          <w:rFonts w:ascii="Times New Roman" w:hAnsi="Times New Roman" w:cs="Times New Roman"/>
          <w:i/>
          <w:iCs/>
          <w:lang w:val="vi-VN"/>
        </w:rPr>
        <w:t>: Th.S</w:t>
      </w:r>
      <w:r w:rsidR="00965374" w:rsidRPr="001375C9">
        <w:rPr>
          <w:rFonts w:ascii="Times New Roman" w:hAnsi="Times New Roman" w:cs="Times New Roman"/>
          <w:i/>
          <w:iCs/>
          <w:lang w:val="vi-VN"/>
        </w:rPr>
        <w:t>.</w:t>
      </w:r>
      <w:r w:rsidR="00994525" w:rsidRPr="001375C9">
        <w:rPr>
          <w:rFonts w:ascii="Times New Roman" w:hAnsi="Times New Roman" w:cs="Times New Roman"/>
          <w:i/>
          <w:iCs/>
          <w:lang w:val="vi-VN"/>
        </w:rPr>
        <w:t xml:space="preserve"> Nguyễn Giang Khánh Hằng</w:t>
      </w:r>
    </w:p>
    <w:p w14:paraId="0317B8D0" w14:textId="23AD6393" w:rsidR="009D54BA" w:rsidRPr="001375C9" w:rsidRDefault="009D54BA" w:rsidP="00994525">
      <w:pPr>
        <w:spacing w:line="360" w:lineRule="auto"/>
        <w:jc w:val="both"/>
        <w:rPr>
          <w:rFonts w:ascii="Times New Roman" w:hAnsi="Times New Roman" w:cs="Times New Roman"/>
          <w:b/>
          <w:bCs/>
          <w:lang w:val="vi-VN"/>
        </w:rPr>
      </w:pPr>
    </w:p>
    <w:p w14:paraId="4DD1D4DE" w14:textId="77777777" w:rsidR="0018324F" w:rsidRPr="001375C9" w:rsidRDefault="0018324F" w:rsidP="00994525">
      <w:pPr>
        <w:spacing w:line="360" w:lineRule="auto"/>
        <w:jc w:val="both"/>
        <w:rPr>
          <w:rFonts w:ascii="Times New Roman" w:hAnsi="Times New Roman" w:cs="Times New Roman"/>
          <w:b/>
          <w:bCs/>
          <w:lang w:val="vi-VN"/>
        </w:rPr>
      </w:pPr>
    </w:p>
    <w:p w14:paraId="32280375" w14:textId="7BBA45AC" w:rsidR="00994525" w:rsidRPr="001375C9" w:rsidRDefault="00994525" w:rsidP="00994525">
      <w:pPr>
        <w:tabs>
          <w:tab w:val="left" w:pos="454"/>
        </w:tabs>
        <w:spacing w:line="360" w:lineRule="auto"/>
        <w:jc w:val="both"/>
        <w:rPr>
          <w:rFonts w:ascii="Times New Roman" w:hAnsi="Times New Roman" w:cs="Times New Roman"/>
          <w:b/>
          <w:bCs/>
          <w:lang w:val="vi-VN"/>
        </w:rPr>
      </w:pPr>
      <w:r w:rsidRPr="001375C9">
        <w:rPr>
          <w:rFonts w:ascii="Times New Roman" w:hAnsi="Times New Roman" w:cs="Times New Roman"/>
          <w:b/>
          <w:bCs/>
          <w:lang w:val="vi-VN"/>
        </w:rPr>
        <w:t>Tóm tắt</w:t>
      </w:r>
    </w:p>
    <w:p w14:paraId="3A803606" w14:textId="36FD659D" w:rsidR="00994525" w:rsidRPr="001375C9" w:rsidRDefault="00994525" w:rsidP="00994525">
      <w:pPr>
        <w:tabs>
          <w:tab w:val="left" w:pos="454"/>
        </w:tabs>
        <w:spacing w:line="360" w:lineRule="auto"/>
        <w:jc w:val="both"/>
        <w:rPr>
          <w:rFonts w:ascii="Times New Roman" w:hAnsi="Times New Roman" w:cs="Times New Roman"/>
          <w:lang w:val="vi-VN"/>
        </w:rPr>
      </w:pPr>
      <w:r w:rsidRPr="001375C9">
        <w:rPr>
          <w:rFonts w:ascii="Times New Roman" w:hAnsi="Times New Roman" w:cs="Times New Roman"/>
          <w:lang w:val="vi-VN"/>
        </w:rPr>
        <w:t>Báo cáo trình bày kết quả nghiên cứu về kế toán hàng tồn kho theo Chuẩn mực Kế toán Quốc tế IAS 2 (thuộc Chuẩn mực Báo cáo tài chính quốc tế IFRS) bao gồm định nghĩa của hàng tồn kho, phân loại hàng tồn kho, cách xác định giá trị báo cáo của hàng tồn kho trên</w:t>
      </w:r>
      <w:r w:rsidR="007239F6" w:rsidRPr="001375C9">
        <w:rPr>
          <w:rFonts w:ascii="Times New Roman" w:hAnsi="Times New Roman" w:cs="Times New Roman"/>
          <w:lang w:val="vi-VN"/>
        </w:rPr>
        <w:t xml:space="preserve"> báo cáo tài chính</w:t>
      </w:r>
      <w:r w:rsidRPr="001375C9">
        <w:rPr>
          <w:rFonts w:ascii="Times New Roman" w:hAnsi="Times New Roman" w:cs="Times New Roman"/>
          <w:lang w:val="vi-VN"/>
        </w:rPr>
        <w:t xml:space="preserve">, các phương pháp tính giá phí của hàng hoá được bán ra (giá vốn hàng bán) và các yêu cầu về trình bày hàng tồn kho trên </w:t>
      </w:r>
      <w:r w:rsidR="007239F6" w:rsidRPr="001375C9">
        <w:rPr>
          <w:rFonts w:ascii="Times New Roman" w:hAnsi="Times New Roman" w:cs="Times New Roman"/>
          <w:lang w:val="vi-VN"/>
        </w:rPr>
        <w:t>báo cáo tài chính</w:t>
      </w:r>
      <w:r w:rsidRPr="001375C9">
        <w:rPr>
          <w:rFonts w:ascii="Times New Roman" w:hAnsi="Times New Roman" w:cs="Times New Roman"/>
          <w:lang w:val="vi-VN"/>
        </w:rPr>
        <w:t xml:space="preserve">. Đồng thời, phần báo cáo đưa ra những so sánh với Chuẩn mực Kế toán Việt Nam về hàng tồn kho – VAS 2 để tìm ra những sự giống và khác nhau giữa hai </w:t>
      </w:r>
      <w:r w:rsidR="004B1554" w:rsidRPr="001375C9">
        <w:rPr>
          <w:rFonts w:ascii="Times New Roman" w:hAnsi="Times New Roman" w:cs="Times New Roman"/>
          <w:lang w:val="vi-VN"/>
        </w:rPr>
        <w:t>C</w:t>
      </w:r>
      <w:r w:rsidRPr="001375C9">
        <w:rPr>
          <w:rFonts w:ascii="Times New Roman" w:hAnsi="Times New Roman" w:cs="Times New Roman"/>
          <w:lang w:val="vi-VN"/>
        </w:rPr>
        <w:t>huẩn mực và nhận xét mức độ khả thi khi áp dụng chuẩn mực IAS 2 tại Việt Nam.</w:t>
      </w:r>
    </w:p>
    <w:p w14:paraId="748DE626" w14:textId="77777777" w:rsidR="00994525" w:rsidRPr="001375C9" w:rsidRDefault="00994525" w:rsidP="00994525">
      <w:pPr>
        <w:tabs>
          <w:tab w:val="left" w:pos="454"/>
        </w:tabs>
        <w:spacing w:line="360" w:lineRule="auto"/>
        <w:jc w:val="both"/>
        <w:rPr>
          <w:rFonts w:ascii="Times New Roman" w:hAnsi="Times New Roman" w:cs="Times New Roman"/>
          <w:lang w:val="vi-VN"/>
        </w:rPr>
      </w:pPr>
    </w:p>
    <w:p w14:paraId="3468D9C6" w14:textId="5FF0F8A8" w:rsidR="0058313B" w:rsidRPr="001375C9" w:rsidRDefault="0058313B" w:rsidP="00994525">
      <w:pPr>
        <w:spacing w:line="360" w:lineRule="auto"/>
        <w:jc w:val="both"/>
        <w:rPr>
          <w:rFonts w:ascii="Times New Roman" w:hAnsi="Times New Roman" w:cs="Times New Roman"/>
          <w:b/>
          <w:bCs/>
          <w:lang w:val="vi-VN"/>
        </w:rPr>
      </w:pPr>
      <w:r w:rsidRPr="001375C9">
        <w:rPr>
          <w:rFonts w:ascii="Times New Roman" w:hAnsi="Times New Roman" w:cs="Times New Roman"/>
          <w:b/>
          <w:bCs/>
          <w:lang w:val="vi-VN"/>
        </w:rPr>
        <w:t>Lý do nghiên cứu</w:t>
      </w:r>
    </w:p>
    <w:p w14:paraId="22C4BBFC" w14:textId="17B749A6" w:rsidR="007E702F" w:rsidRPr="001375C9" w:rsidRDefault="0058313B" w:rsidP="00994525">
      <w:pPr>
        <w:spacing w:line="360" w:lineRule="auto"/>
        <w:jc w:val="both"/>
        <w:rPr>
          <w:rFonts w:ascii="Times New Roman" w:hAnsi="Times New Roman" w:cs="Times New Roman"/>
          <w:lang w:val="vi-VN"/>
        </w:rPr>
      </w:pPr>
      <w:r w:rsidRPr="001375C9">
        <w:rPr>
          <w:rFonts w:ascii="Times New Roman" w:hAnsi="Times New Roman" w:cs="Times New Roman"/>
          <w:lang w:val="en-GB"/>
        </w:rPr>
        <w:t>Theo</w:t>
      </w:r>
      <w:r w:rsidR="0018500A" w:rsidRPr="001375C9">
        <w:rPr>
          <w:rFonts w:ascii="Times New Roman" w:hAnsi="Times New Roman" w:cs="Times New Roman"/>
        </w:rPr>
        <w:t xml:space="preserve"> </w:t>
      </w:r>
      <w:r w:rsidR="0018500A" w:rsidRPr="001375C9">
        <w:rPr>
          <w:rFonts w:ascii="Times New Roman" w:hAnsi="Times New Roman" w:cs="Times New Roman"/>
          <w:lang w:val="en-GB"/>
        </w:rPr>
        <w:t>Quyết định số 345/QĐ-BTC phê duyệt</w:t>
      </w:r>
      <w:r w:rsidRPr="001375C9">
        <w:rPr>
          <w:rFonts w:ascii="Times New Roman" w:hAnsi="Times New Roman" w:cs="Times New Roman"/>
          <w:lang w:val="en-GB"/>
        </w:rPr>
        <w:t xml:space="preserve"> “Đề án áp dụng Chuẩn mực Báo cáo tài chính quốc tế (IFRS) tại Việt Nam”</w:t>
      </w:r>
      <w:r w:rsidR="00F93624" w:rsidRPr="001375C9">
        <w:rPr>
          <w:rFonts w:ascii="Times New Roman" w:hAnsi="Times New Roman" w:cs="Times New Roman"/>
          <w:lang w:val="vi-VN"/>
        </w:rPr>
        <w:t xml:space="preserve"> được </w:t>
      </w:r>
      <w:r w:rsidR="0018500A" w:rsidRPr="001375C9">
        <w:rPr>
          <w:rFonts w:ascii="Times New Roman" w:hAnsi="Times New Roman" w:cs="Times New Roman"/>
          <w:lang w:val="vi-VN"/>
        </w:rPr>
        <w:t>Bộ Tài chính ban hành ngày 16/3/2020</w:t>
      </w:r>
      <w:r w:rsidRPr="001375C9">
        <w:rPr>
          <w:rFonts w:ascii="Times New Roman" w:hAnsi="Times New Roman" w:cs="Times New Roman"/>
          <w:lang w:val="en-GB"/>
        </w:rPr>
        <w:t>, gồm</w:t>
      </w:r>
      <w:r w:rsidRPr="001375C9">
        <w:rPr>
          <w:rFonts w:ascii="Times New Roman" w:hAnsi="Times New Roman" w:cs="Times New Roman"/>
          <w:lang w:val="vi-VN"/>
        </w:rPr>
        <w:t xml:space="preserve"> ba giai đoạn chính: giai đoạn chuẩn bị, giai đoạn tự nguyện và giai đoạn bắt buộc. H</w:t>
      </w:r>
      <w:r w:rsidRPr="001375C9">
        <w:rPr>
          <w:rFonts w:ascii="Times New Roman" w:hAnsi="Times New Roman" w:cs="Times New Roman"/>
          <w:lang w:val="en-GB"/>
        </w:rPr>
        <w:t>iện</w:t>
      </w:r>
      <w:r w:rsidRPr="001375C9">
        <w:rPr>
          <w:rFonts w:ascii="Times New Roman" w:hAnsi="Times New Roman" w:cs="Times New Roman"/>
          <w:lang w:val="vi-VN"/>
        </w:rPr>
        <w:t xml:space="preserve"> nay chúng ta đang ở trong giai đoạn thứ hai (2022-2025), một số doanh nghiệp có nhu cầu và đủ nguồn lực tự nguyện được Bộ Tài chính lựa chọn sẽ tự nguyện áp dụng IFRS trong việc lập báo cáo tài chính (BCTC). Sau 2025, việc áp dụng IFRS lập BCTC</w:t>
      </w:r>
      <w:r w:rsidR="0090212C" w:rsidRPr="001375C9">
        <w:rPr>
          <w:rFonts w:ascii="Times New Roman" w:hAnsi="Times New Roman" w:cs="Times New Roman"/>
          <w:lang w:val="vi-VN"/>
        </w:rPr>
        <w:t xml:space="preserve"> hợp nhất hoặc BCTC riêng</w:t>
      </w:r>
      <w:r w:rsidR="0018500A" w:rsidRPr="001375C9">
        <w:rPr>
          <w:rFonts w:ascii="Times New Roman" w:hAnsi="Times New Roman" w:cs="Times New Roman"/>
          <w:lang w:val="vi-VN"/>
        </w:rPr>
        <w:t xml:space="preserve"> </w:t>
      </w:r>
      <w:r w:rsidRPr="001375C9">
        <w:rPr>
          <w:rFonts w:ascii="Times New Roman" w:hAnsi="Times New Roman" w:cs="Times New Roman"/>
          <w:lang w:val="vi-VN"/>
        </w:rPr>
        <w:t>là bắt b</w:t>
      </w:r>
      <w:r w:rsidR="00B03CE0" w:rsidRPr="001375C9">
        <w:rPr>
          <w:rFonts w:ascii="Times New Roman" w:hAnsi="Times New Roman" w:cs="Times New Roman"/>
          <w:lang w:val="vi-VN"/>
        </w:rPr>
        <w:t>uộc</w:t>
      </w:r>
      <w:r w:rsidR="00F93624" w:rsidRPr="001375C9">
        <w:rPr>
          <w:rFonts w:ascii="Times New Roman" w:hAnsi="Times New Roman" w:cs="Times New Roman"/>
          <w:lang w:val="vi-VN"/>
        </w:rPr>
        <w:t xml:space="preserve">. </w:t>
      </w:r>
      <w:r w:rsidR="0018500A" w:rsidRPr="001375C9">
        <w:rPr>
          <w:rFonts w:ascii="Times New Roman" w:hAnsi="Times New Roman" w:cs="Times New Roman"/>
          <w:lang w:val="vi-VN"/>
        </w:rPr>
        <w:t>Để đáp ứng được tính kịp thời, việc nghiên cứu về Chuẩn mực Báo cáo tài chính quốc tế là cần thiết</w:t>
      </w:r>
      <w:r w:rsidR="0090212C" w:rsidRPr="001375C9">
        <w:rPr>
          <w:rFonts w:ascii="Times New Roman" w:hAnsi="Times New Roman" w:cs="Times New Roman"/>
          <w:lang w:val="vi-VN"/>
        </w:rPr>
        <w:t xml:space="preserve">. Tuy nhiên, vì thời gian và độ dài hạn chế, bài báo cáo này sẽ tập trung vào nghiên cứu việc áp dụng chuẩn mực kế toán quốc tế của một đối tượng kế toán cụ thể, đó là hàng tồn kho - một trong những khoản mục tài sản quan trọng. Trong IFRS, hàng tồn kho được kế toán tuân thủ theo </w:t>
      </w:r>
      <w:r w:rsidR="00F06869" w:rsidRPr="001375C9">
        <w:rPr>
          <w:rFonts w:ascii="Times New Roman" w:hAnsi="Times New Roman" w:cs="Times New Roman"/>
          <w:lang w:val="vi-VN"/>
        </w:rPr>
        <w:t xml:space="preserve">Chuẩn mực kế toán quốc tế IAS 2. </w:t>
      </w:r>
    </w:p>
    <w:p w14:paraId="75619E6B" w14:textId="56B48681" w:rsidR="009D54BA" w:rsidRPr="001375C9" w:rsidRDefault="009D54BA"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Nhận thấy được sự phù hợp, báo cáo viên</w:t>
      </w:r>
      <w:r w:rsidR="00994525" w:rsidRPr="001375C9">
        <w:rPr>
          <w:rFonts w:ascii="Times New Roman" w:hAnsi="Times New Roman" w:cs="Times New Roman"/>
          <w:lang w:val="vi-VN"/>
        </w:rPr>
        <w:t xml:space="preserve"> chủ yếu</w:t>
      </w:r>
      <w:r w:rsidRPr="001375C9">
        <w:rPr>
          <w:rFonts w:ascii="Times New Roman" w:hAnsi="Times New Roman" w:cs="Times New Roman"/>
          <w:lang w:val="vi-VN"/>
        </w:rPr>
        <w:t xml:space="preserve"> dựa vào cuốn giáo trình “</w:t>
      </w:r>
      <w:r w:rsidRPr="001375C9">
        <w:rPr>
          <w:rFonts w:ascii="Times New Roman" w:hAnsi="Times New Roman" w:cs="Times New Roman"/>
          <w:b/>
          <w:bCs/>
          <w:i/>
          <w:iCs/>
          <w:lang w:val="vi-VN"/>
        </w:rPr>
        <w:t>International Financial Reporting and Analysis</w:t>
      </w:r>
      <w:r w:rsidRPr="001375C9">
        <w:rPr>
          <w:rFonts w:ascii="Times New Roman" w:hAnsi="Times New Roman" w:cs="Times New Roman"/>
          <w:lang w:val="vi-VN"/>
        </w:rPr>
        <w:t xml:space="preserve">” của các tác giả David Alexander, Anne Britton, Ann Jorissen, Martin Hoogendoorn, Carien Van Mourik để nghiên cứu chủ đề học thuật này. </w:t>
      </w:r>
      <w:r w:rsidR="00994525" w:rsidRPr="001375C9">
        <w:rPr>
          <w:rFonts w:ascii="Times New Roman" w:hAnsi="Times New Roman" w:cs="Times New Roman"/>
          <w:lang w:val="vi-VN"/>
        </w:rPr>
        <w:t xml:space="preserve">Ngoài </w:t>
      </w:r>
      <w:r w:rsidR="00994525" w:rsidRPr="001375C9">
        <w:rPr>
          <w:rFonts w:ascii="Times New Roman" w:hAnsi="Times New Roman" w:cs="Times New Roman"/>
          <w:lang w:val="vi-VN"/>
        </w:rPr>
        <w:lastRenderedPageBreak/>
        <w:t xml:space="preserve">ra, báo cáo viên tham khảo thêm Bộ Chuẩn mực IFRS (Bản dịch và bản gốc), Bộ Chuẩn mực VAS và tài liệu ACCA. </w:t>
      </w:r>
    </w:p>
    <w:p w14:paraId="795AD8A0" w14:textId="4DFF472C" w:rsidR="009D54BA" w:rsidRPr="001375C9" w:rsidRDefault="00994525" w:rsidP="00994525">
      <w:pPr>
        <w:spacing w:before="240" w:line="360" w:lineRule="auto"/>
        <w:jc w:val="both"/>
        <w:rPr>
          <w:rFonts w:ascii="Times New Roman" w:hAnsi="Times New Roman" w:cs="Times New Roman"/>
          <w:b/>
          <w:bCs/>
          <w:lang w:val="vi-VN"/>
        </w:rPr>
      </w:pPr>
      <w:r w:rsidRPr="001375C9">
        <w:rPr>
          <w:rFonts w:ascii="Times New Roman" w:hAnsi="Times New Roman" w:cs="Times New Roman"/>
          <w:b/>
          <w:bCs/>
          <w:lang w:val="vi-VN"/>
        </w:rPr>
        <w:t>A. GIỚI THIỆU VỀ HÀNG TỒN KHO</w:t>
      </w:r>
    </w:p>
    <w:p w14:paraId="42B8597C" w14:textId="438E1669" w:rsidR="0008024D" w:rsidRPr="001375C9" w:rsidRDefault="0008024D"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Hàng tồn kho, bao gồm cả sản phẩm dở dang, trình bày một số vấn đề với kế toán. Đầu tiên, giá trị của hàng tồn kho cần phải được xác định, lưu ý rằng số lượng hàng tồn kho thay đổi liên tục theo thời gian. Thứ hai, khi hàng tồn kho được bán, kế toán cần xác định giá vốn hàng bán và ghi nhận doanh thu liên quan. Với mục đích này, kế toán cần xác định điểm ghi nhận doanh thu (bán hàng) dựa vào IFRS 15 Doanh thu từ hợp đồng với khách hàng. </w:t>
      </w:r>
    </w:p>
    <w:p w14:paraId="5526D3A4" w14:textId="3A6A5B52" w:rsidR="0008024D" w:rsidRPr="001375C9" w:rsidRDefault="0008024D"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Vì vậy, việc xác định giá trị hàng tồn kho cần phải thực hiện cẩn thận vì nó là yếu tố quyết định chính đến giá vốn hàng bán và từ đó xác định thu nhập ròng. Doanh nghiệp thương mại mua hàng hóa với mục đích bán lại cho bên khách hàng thứ ba. Hàng tồn kho của doanh nghiệp thương mại chủ yếu là hàng mua để bán lại. Mặt khác, doanh nghiệp sản xuất sản xuất các sản phẩm và họ bán trực tiếp cho khách hàng. Trong doanh nghiệp sản xuất, hàng tồn kho bao gồm nguyên vật liệu thô, sản phẩm dở dang và thành phẩm. Hầu hết các doanh nghiệp sản xuất đầu tiên sản xuất hàng hóa và sau đó phải đối mặt với rủi ro thương mại trong việc tìm kiếm khách hàng cho những sản phẩm đó. Tuy nhiên, trong một số trường hợp, hợp đồng với khách hàng trong đó một khoản doanh thu xác định đã được thương lượng và ký kết trước khi bắt đầu sản xuất hàng hóa, theo các yêu cầu cụ thể đã thỏa thuận với khách hàng. Trong những trường hợp này, các công ty không phải chịu rủi ro thương mại sau khi ký hợp đồng với khách hàng của họ; mối quan tâm chính của họ là kiểm soát chi phí sản xuất. Các loại hợp đồng này, cho đến năm 2017, được gọi là hợp đồng xây dựng và được xử lý theo một Chuẩn mực riêng, đó là IAS 11 Hợp đồng xây dựng. Từ năm 2018 trở đi, chúng được đưa vào phạm vi IFRS 15 Doanh thu từ hợp đồng với khách hàng. Tất cả các loại hàng tồn kho khác được xử lý trong phạm vi IAS 2, ngoại trừ nông sản, tại thời điểm thu hoạch thuộc phạm vi của IAS 41 Nông nghiệp.</w:t>
      </w:r>
    </w:p>
    <w:p w14:paraId="7845BD1E" w14:textId="7134508D" w:rsidR="0008024D" w:rsidRPr="001375C9" w:rsidRDefault="0008024D"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Tuy nhiên, như đã trình bày ở trên, báo cáo viên chỉ tập trung tìm hiểu về IAS 2 trong khuôn khổ bài báo cáo này. Tức là, báo cáo này sẽ chỉ nghiên cứu về tất cả các loại hàng tồn kho mà công ty vẫn chịu rủi ro thương mại, vì vậy những hàng tồn kho đã có hợp đồng với khách hàng sẽ bị loại trừ.</w:t>
      </w:r>
    </w:p>
    <w:p w14:paraId="05537804" w14:textId="77777777" w:rsidR="00994525" w:rsidRPr="001375C9" w:rsidRDefault="00994525" w:rsidP="00994525">
      <w:pPr>
        <w:spacing w:line="360" w:lineRule="auto"/>
        <w:rPr>
          <w:rFonts w:ascii="Times New Roman" w:hAnsi="Times New Roman" w:cs="Times New Roman"/>
          <w:b/>
          <w:bCs/>
          <w:lang w:val="vi-VN"/>
        </w:rPr>
      </w:pPr>
      <w:r w:rsidRPr="001375C9">
        <w:rPr>
          <w:rFonts w:ascii="Times New Roman" w:hAnsi="Times New Roman" w:cs="Times New Roman"/>
          <w:b/>
          <w:bCs/>
          <w:lang w:val="vi-VN"/>
        </w:rPr>
        <w:br w:type="page"/>
      </w:r>
    </w:p>
    <w:p w14:paraId="0675ADDC" w14:textId="3FF4AE29" w:rsidR="00F93624" w:rsidRPr="001375C9" w:rsidRDefault="00994525" w:rsidP="00994525">
      <w:pPr>
        <w:spacing w:before="240" w:line="360" w:lineRule="auto"/>
        <w:jc w:val="both"/>
        <w:rPr>
          <w:rFonts w:ascii="Times New Roman" w:hAnsi="Times New Roman" w:cs="Times New Roman"/>
          <w:b/>
          <w:bCs/>
          <w:lang w:val="vi-VN"/>
        </w:rPr>
      </w:pPr>
      <w:r w:rsidRPr="001375C9">
        <w:rPr>
          <w:rFonts w:ascii="Times New Roman" w:hAnsi="Times New Roman" w:cs="Times New Roman"/>
          <w:b/>
          <w:bCs/>
          <w:lang w:val="vi-VN"/>
        </w:rPr>
        <w:lastRenderedPageBreak/>
        <w:t xml:space="preserve">B. ĐỊNH NGHĨA HÀNG TỒN KHO </w:t>
      </w:r>
    </w:p>
    <w:p w14:paraId="7C7AFFC1" w14:textId="77FC29A3" w:rsidR="007F4047" w:rsidRPr="001375C9" w:rsidRDefault="007F4047"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Trong đoạn 6 của IAS 2, hàng tồn kho là tài sản: </w:t>
      </w:r>
    </w:p>
    <w:p w14:paraId="6AE10299" w14:textId="706C8677" w:rsidR="007F4047" w:rsidRPr="001375C9" w:rsidRDefault="007F4047" w:rsidP="00994525">
      <w:pPr>
        <w:numPr>
          <w:ilvl w:val="0"/>
          <w:numId w:val="1"/>
        </w:numPr>
        <w:spacing w:line="360" w:lineRule="auto"/>
        <w:jc w:val="both"/>
        <w:rPr>
          <w:rFonts w:ascii="Times New Roman" w:hAnsi="Times New Roman" w:cs="Times New Roman"/>
        </w:rPr>
      </w:pPr>
      <w:r w:rsidRPr="001375C9">
        <w:rPr>
          <w:rFonts w:ascii="Times New Roman" w:hAnsi="Times New Roman" w:cs="Times New Roman"/>
          <w:lang w:val="vi-VN"/>
        </w:rPr>
        <w:t xml:space="preserve">Được giữ để bán trong kỳ kinh doanh thông thường; </w:t>
      </w:r>
      <w:r w:rsidRPr="001375C9">
        <w:rPr>
          <w:rFonts w:ascii="Times New Roman" w:hAnsi="Times New Roman" w:cs="Times New Roman"/>
          <w:b/>
          <w:bCs/>
          <w:lang w:val="vi-VN"/>
        </w:rPr>
        <w:t>Thành phẩm (</w:t>
      </w:r>
      <w:r w:rsidRPr="001375C9">
        <w:rPr>
          <w:rFonts w:ascii="Times New Roman" w:hAnsi="Times New Roman" w:cs="Times New Roman"/>
          <w:b/>
          <w:bCs/>
          <w:lang w:val="en-GB"/>
        </w:rPr>
        <w:t>finished goods</w:t>
      </w:r>
      <w:r w:rsidRPr="001375C9">
        <w:rPr>
          <w:rFonts w:ascii="Times New Roman" w:hAnsi="Times New Roman" w:cs="Times New Roman"/>
          <w:b/>
          <w:bCs/>
          <w:lang w:val="vi-VN"/>
        </w:rPr>
        <w:t>)</w:t>
      </w:r>
    </w:p>
    <w:p w14:paraId="552D98CC" w14:textId="1797B0D7" w:rsidR="007F4047" w:rsidRPr="001375C9" w:rsidRDefault="007F4047" w:rsidP="00994525">
      <w:pPr>
        <w:numPr>
          <w:ilvl w:val="0"/>
          <w:numId w:val="1"/>
        </w:numPr>
        <w:spacing w:line="360" w:lineRule="auto"/>
        <w:jc w:val="both"/>
        <w:rPr>
          <w:rFonts w:ascii="Times New Roman" w:hAnsi="Times New Roman" w:cs="Times New Roman"/>
        </w:rPr>
      </w:pPr>
      <w:r w:rsidRPr="001375C9">
        <w:rPr>
          <w:rFonts w:ascii="Times New Roman" w:hAnsi="Times New Roman" w:cs="Times New Roman"/>
          <w:lang w:val="vi-VN"/>
        </w:rPr>
        <w:t xml:space="preserve">Đang trong quá trình sản xuất để bán; </w:t>
      </w:r>
      <w:r w:rsidR="007E702F" w:rsidRPr="001375C9">
        <w:rPr>
          <w:rFonts w:ascii="Times New Roman" w:hAnsi="Times New Roman" w:cs="Times New Roman"/>
          <w:b/>
          <w:bCs/>
          <w:lang w:val="vi-VN"/>
        </w:rPr>
        <w:t xml:space="preserve">Sản phẩm </w:t>
      </w:r>
      <w:r w:rsidRPr="001375C9">
        <w:rPr>
          <w:rFonts w:ascii="Times New Roman" w:hAnsi="Times New Roman" w:cs="Times New Roman"/>
          <w:b/>
          <w:bCs/>
          <w:lang w:val="vi-VN"/>
        </w:rPr>
        <w:t>dở dang (</w:t>
      </w:r>
      <w:r w:rsidRPr="001375C9">
        <w:rPr>
          <w:rFonts w:ascii="Times New Roman" w:hAnsi="Times New Roman" w:cs="Times New Roman"/>
          <w:b/>
          <w:bCs/>
          <w:lang w:val="en-GB"/>
        </w:rPr>
        <w:t>work in progress</w:t>
      </w:r>
      <w:r w:rsidRPr="001375C9">
        <w:rPr>
          <w:rFonts w:ascii="Times New Roman" w:hAnsi="Times New Roman" w:cs="Times New Roman"/>
          <w:b/>
          <w:bCs/>
          <w:lang w:val="vi-VN"/>
        </w:rPr>
        <w:t>)</w:t>
      </w:r>
    </w:p>
    <w:p w14:paraId="514BB5A1" w14:textId="7BD89398" w:rsidR="007F4047" w:rsidRPr="001375C9" w:rsidRDefault="007F4047" w:rsidP="00994525">
      <w:pPr>
        <w:numPr>
          <w:ilvl w:val="0"/>
          <w:numId w:val="1"/>
        </w:numPr>
        <w:spacing w:line="360" w:lineRule="auto"/>
        <w:jc w:val="both"/>
        <w:rPr>
          <w:rFonts w:ascii="Times New Roman" w:hAnsi="Times New Roman" w:cs="Times New Roman"/>
        </w:rPr>
      </w:pPr>
      <w:r w:rsidRPr="001375C9">
        <w:rPr>
          <w:rFonts w:ascii="Times New Roman" w:hAnsi="Times New Roman" w:cs="Times New Roman"/>
          <w:lang w:val="vi-VN"/>
        </w:rPr>
        <w:t>Nguyên liệu, vật liệu</w:t>
      </w:r>
      <w:r w:rsidR="007E702F" w:rsidRPr="001375C9">
        <w:rPr>
          <w:rFonts w:ascii="Times New Roman" w:hAnsi="Times New Roman" w:cs="Times New Roman"/>
          <w:lang w:val="vi-VN"/>
        </w:rPr>
        <w:t xml:space="preserve"> </w:t>
      </w:r>
      <w:r w:rsidRPr="001375C9">
        <w:rPr>
          <w:rFonts w:ascii="Times New Roman" w:hAnsi="Times New Roman" w:cs="Times New Roman"/>
          <w:lang w:val="vi-VN"/>
        </w:rPr>
        <w:t xml:space="preserve">được sử dụng trong quá trình sản xuất hoặc cung cấp dịch vụ; </w:t>
      </w:r>
      <w:r w:rsidRPr="001375C9">
        <w:rPr>
          <w:rFonts w:ascii="Times New Roman" w:hAnsi="Times New Roman" w:cs="Times New Roman"/>
          <w:b/>
          <w:bCs/>
          <w:lang w:val="vi-VN"/>
        </w:rPr>
        <w:t>Nguyên vật liệu</w:t>
      </w:r>
      <w:r w:rsidR="007E702F" w:rsidRPr="001375C9">
        <w:rPr>
          <w:rFonts w:ascii="Times New Roman" w:hAnsi="Times New Roman" w:cs="Times New Roman"/>
          <w:b/>
          <w:bCs/>
          <w:lang w:val="vi-VN"/>
        </w:rPr>
        <w:t xml:space="preserve"> thô</w:t>
      </w:r>
      <w:r w:rsidRPr="001375C9">
        <w:rPr>
          <w:rFonts w:ascii="Times New Roman" w:hAnsi="Times New Roman" w:cs="Times New Roman"/>
          <w:b/>
          <w:bCs/>
          <w:lang w:val="vi-VN"/>
        </w:rPr>
        <w:t xml:space="preserve"> (</w:t>
      </w:r>
      <w:r w:rsidRPr="001375C9">
        <w:rPr>
          <w:rFonts w:ascii="Times New Roman" w:hAnsi="Times New Roman" w:cs="Times New Roman"/>
          <w:b/>
          <w:bCs/>
          <w:lang w:val="en-GB"/>
        </w:rPr>
        <w:t>raw materials</w:t>
      </w:r>
      <w:r w:rsidRPr="001375C9">
        <w:rPr>
          <w:rFonts w:ascii="Times New Roman" w:hAnsi="Times New Roman" w:cs="Times New Roman"/>
          <w:b/>
          <w:bCs/>
          <w:lang w:val="vi-VN"/>
        </w:rPr>
        <w:t>)</w:t>
      </w:r>
    </w:p>
    <w:p w14:paraId="79CEBF84" w14:textId="33F333C2" w:rsidR="007E702F" w:rsidRPr="001375C9" w:rsidRDefault="007B6AC6"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Đoạn 8 của chuẩn mực này cung cấp một số ví dụ về hàng tồn kho</w:t>
      </w:r>
      <w:r w:rsidR="007E702F" w:rsidRPr="001375C9">
        <w:rPr>
          <w:rFonts w:ascii="Times New Roman" w:hAnsi="Times New Roman" w:cs="Times New Roman"/>
          <w:lang w:val="vi-VN"/>
        </w:rPr>
        <w:t>, được phân loại theo từng loại hình doanh nghiệp</w:t>
      </w:r>
      <w:r w:rsidRPr="001375C9">
        <w:rPr>
          <w:rFonts w:ascii="Times New Roman" w:hAnsi="Times New Roman" w:cs="Times New Roman"/>
          <w:lang w:val="vi-VN"/>
        </w:rPr>
        <w:t>. Cụ thể</w:t>
      </w:r>
      <w:r w:rsidR="007E702F" w:rsidRPr="001375C9">
        <w:rPr>
          <w:rFonts w:ascii="Times New Roman" w:hAnsi="Times New Roman" w:cs="Times New Roman"/>
          <w:lang w:val="vi-VN"/>
        </w:rPr>
        <w:t xml:space="preserve"> như sau:</w:t>
      </w:r>
    </w:p>
    <w:p w14:paraId="28AAACAE" w14:textId="36AF4AB4" w:rsidR="00193719" w:rsidRPr="001375C9" w:rsidRDefault="007E702F" w:rsidP="00994525">
      <w:pPr>
        <w:pStyle w:val="ListParagraph"/>
        <w:numPr>
          <w:ilvl w:val="0"/>
          <w:numId w:val="3"/>
        </w:num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Doanh nghiệp thương mại: </w:t>
      </w:r>
      <w:r w:rsidR="00193719" w:rsidRPr="001375C9">
        <w:rPr>
          <w:rFonts w:ascii="Times New Roman" w:hAnsi="Times New Roman" w:cs="Times New Roman"/>
          <w:lang w:val="vi-VN"/>
        </w:rPr>
        <w:t>H</w:t>
      </w:r>
      <w:r w:rsidR="007B6AC6" w:rsidRPr="001375C9">
        <w:rPr>
          <w:rFonts w:ascii="Times New Roman" w:hAnsi="Times New Roman" w:cs="Times New Roman"/>
          <w:lang w:val="vi-VN"/>
        </w:rPr>
        <w:t>àng hoá được mua để bán lại</w:t>
      </w:r>
      <w:r w:rsidR="00193719" w:rsidRPr="001375C9">
        <w:rPr>
          <w:rFonts w:ascii="Times New Roman" w:hAnsi="Times New Roman" w:cs="Times New Roman"/>
          <w:lang w:val="vi-VN"/>
        </w:rPr>
        <w:t>; Đ</w:t>
      </w:r>
      <w:r w:rsidR="007B6AC6" w:rsidRPr="001375C9">
        <w:rPr>
          <w:rFonts w:ascii="Times New Roman" w:hAnsi="Times New Roman" w:cs="Times New Roman"/>
          <w:lang w:val="vi-VN"/>
        </w:rPr>
        <w:t>ất đai và tài sản khác được giữ để bán lại</w:t>
      </w:r>
      <w:r w:rsidR="00193719" w:rsidRPr="001375C9">
        <w:rPr>
          <w:rFonts w:ascii="Times New Roman" w:hAnsi="Times New Roman" w:cs="Times New Roman"/>
          <w:lang w:val="vi-VN"/>
        </w:rPr>
        <w:t>.</w:t>
      </w:r>
    </w:p>
    <w:p w14:paraId="45521C03" w14:textId="77777777" w:rsidR="00193719" w:rsidRPr="001375C9" w:rsidRDefault="00193719" w:rsidP="00994525">
      <w:pPr>
        <w:pStyle w:val="ListParagraph"/>
        <w:numPr>
          <w:ilvl w:val="0"/>
          <w:numId w:val="3"/>
        </w:numPr>
        <w:spacing w:line="360" w:lineRule="auto"/>
        <w:jc w:val="both"/>
        <w:rPr>
          <w:rFonts w:ascii="Times New Roman" w:hAnsi="Times New Roman" w:cs="Times New Roman"/>
          <w:lang w:val="vi-VN"/>
        </w:rPr>
      </w:pPr>
      <w:r w:rsidRPr="001375C9">
        <w:rPr>
          <w:rFonts w:ascii="Times New Roman" w:hAnsi="Times New Roman" w:cs="Times New Roman"/>
          <w:lang w:val="vi-VN"/>
        </w:rPr>
        <w:t>Doanh nghiệp sản xuất: T</w:t>
      </w:r>
      <w:r w:rsidR="007B6AC6" w:rsidRPr="001375C9">
        <w:rPr>
          <w:rFonts w:ascii="Times New Roman" w:hAnsi="Times New Roman" w:cs="Times New Roman"/>
          <w:lang w:val="vi-VN"/>
        </w:rPr>
        <w:t>hành phẩm (sản phẩm đã trải qua giai đoạn sản xuất cuối cùng)</w:t>
      </w:r>
      <w:r w:rsidRPr="001375C9">
        <w:rPr>
          <w:rFonts w:ascii="Times New Roman" w:hAnsi="Times New Roman" w:cs="Times New Roman"/>
          <w:lang w:val="vi-VN"/>
        </w:rPr>
        <w:t>; S</w:t>
      </w:r>
      <w:r w:rsidR="007B6AC6" w:rsidRPr="001375C9">
        <w:rPr>
          <w:rFonts w:ascii="Times New Roman" w:hAnsi="Times New Roman" w:cs="Times New Roman"/>
          <w:lang w:val="vi-VN"/>
        </w:rPr>
        <w:t>ản phẩm dở dang trong sản xuất</w:t>
      </w:r>
      <w:r w:rsidRPr="001375C9">
        <w:rPr>
          <w:rFonts w:ascii="Times New Roman" w:hAnsi="Times New Roman" w:cs="Times New Roman"/>
          <w:lang w:val="vi-VN"/>
        </w:rPr>
        <w:t>; N</w:t>
      </w:r>
      <w:r w:rsidR="007B6AC6" w:rsidRPr="001375C9">
        <w:rPr>
          <w:rFonts w:ascii="Times New Roman" w:hAnsi="Times New Roman" w:cs="Times New Roman"/>
          <w:lang w:val="vi-VN"/>
        </w:rPr>
        <w:t xml:space="preserve">guyên vật liệu đang chờ để sử dụng trong sản xuất. </w:t>
      </w:r>
    </w:p>
    <w:p w14:paraId="481B1277" w14:textId="6C18FDCB" w:rsidR="007F4047" w:rsidRPr="001375C9" w:rsidRDefault="00193719" w:rsidP="00994525">
      <w:pPr>
        <w:pStyle w:val="ListParagraph"/>
        <w:numPr>
          <w:ilvl w:val="0"/>
          <w:numId w:val="3"/>
        </w:numPr>
        <w:spacing w:line="360" w:lineRule="auto"/>
        <w:jc w:val="both"/>
        <w:rPr>
          <w:rFonts w:ascii="Times New Roman" w:hAnsi="Times New Roman" w:cs="Times New Roman"/>
          <w:lang w:val="vi-VN"/>
        </w:rPr>
      </w:pPr>
      <w:r w:rsidRPr="001375C9">
        <w:rPr>
          <w:rFonts w:ascii="Times New Roman" w:hAnsi="Times New Roman" w:cs="Times New Roman"/>
          <w:lang w:val="vi-VN"/>
        </w:rPr>
        <w:t>Doanh nghiệp cung cấp dịch vụ: C</w:t>
      </w:r>
      <w:r w:rsidR="007B6AC6" w:rsidRPr="001375C9">
        <w:rPr>
          <w:rFonts w:ascii="Times New Roman" w:hAnsi="Times New Roman" w:cs="Times New Roman"/>
          <w:lang w:val="vi-VN"/>
        </w:rPr>
        <w:t xml:space="preserve">hi phí của những dịch vụ mà công ty chưa ghi nhận là doanh thu. </w:t>
      </w:r>
    </w:p>
    <w:p w14:paraId="491323F6" w14:textId="5E3D8EA7" w:rsidR="00846972" w:rsidRPr="001375C9" w:rsidRDefault="00846972"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Trong Chuẩn mực VAS 2, hàng tồn kho được định nghĩa như sau:</w:t>
      </w:r>
    </w:p>
    <w:p w14:paraId="31B1286E" w14:textId="77777777" w:rsidR="00846972" w:rsidRPr="001375C9" w:rsidRDefault="00846972" w:rsidP="00994525">
      <w:pPr>
        <w:spacing w:line="360" w:lineRule="auto"/>
        <w:ind w:left="709"/>
        <w:jc w:val="both"/>
        <w:rPr>
          <w:rFonts w:ascii="Times New Roman" w:hAnsi="Times New Roman" w:cs="Times New Roman"/>
          <w:i/>
          <w:iCs/>
        </w:rPr>
      </w:pPr>
      <w:r w:rsidRPr="001375C9">
        <w:rPr>
          <w:rFonts w:ascii="Times New Roman" w:hAnsi="Times New Roman" w:cs="Times New Roman"/>
          <w:i/>
          <w:iCs/>
          <w:lang w:val="vi-VN"/>
        </w:rPr>
        <w:t>Hàng tồn kho là những tài sản:</w:t>
      </w:r>
    </w:p>
    <w:p w14:paraId="7468BF14" w14:textId="77777777" w:rsidR="00846972" w:rsidRPr="001375C9" w:rsidRDefault="00846972" w:rsidP="00994525">
      <w:pPr>
        <w:spacing w:line="360" w:lineRule="auto"/>
        <w:ind w:left="851"/>
        <w:jc w:val="both"/>
        <w:rPr>
          <w:rFonts w:ascii="Times New Roman" w:hAnsi="Times New Roman" w:cs="Times New Roman"/>
          <w:i/>
          <w:iCs/>
        </w:rPr>
      </w:pPr>
      <w:r w:rsidRPr="001375C9">
        <w:rPr>
          <w:rFonts w:ascii="Times New Roman" w:hAnsi="Times New Roman" w:cs="Times New Roman"/>
          <w:i/>
          <w:iCs/>
          <w:lang w:val="vi-VN"/>
        </w:rPr>
        <w:t>(a) Được giữ để bán trong kỳ sản xuất, kinh doanh bình thường;</w:t>
      </w:r>
    </w:p>
    <w:p w14:paraId="7177482A" w14:textId="77777777" w:rsidR="00846972" w:rsidRPr="001375C9" w:rsidRDefault="00846972" w:rsidP="00994525">
      <w:pPr>
        <w:spacing w:line="360" w:lineRule="auto"/>
        <w:ind w:left="851"/>
        <w:jc w:val="both"/>
        <w:rPr>
          <w:rFonts w:ascii="Times New Roman" w:hAnsi="Times New Roman" w:cs="Times New Roman"/>
          <w:i/>
          <w:iCs/>
        </w:rPr>
      </w:pPr>
      <w:r w:rsidRPr="001375C9">
        <w:rPr>
          <w:rFonts w:ascii="Times New Roman" w:hAnsi="Times New Roman" w:cs="Times New Roman"/>
          <w:i/>
          <w:iCs/>
          <w:lang w:val="vi-VN"/>
        </w:rPr>
        <w:t>(b) Đang trong quá trình sản xuất, kinh doanh dở dang;</w:t>
      </w:r>
    </w:p>
    <w:p w14:paraId="7A969599" w14:textId="6D27A26F" w:rsidR="00846972" w:rsidRPr="001375C9" w:rsidRDefault="00846972" w:rsidP="00994525">
      <w:pPr>
        <w:spacing w:line="360" w:lineRule="auto"/>
        <w:ind w:left="851"/>
        <w:jc w:val="both"/>
        <w:rPr>
          <w:rFonts w:ascii="Times New Roman" w:hAnsi="Times New Roman" w:cs="Times New Roman"/>
          <w:i/>
          <w:iCs/>
          <w:lang w:val="vi-VN"/>
        </w:rPr>
      </w:pPr>
      <w:r w:rsidRPr="001375C9">
        <w:rPr>
          <w:rFonts w:ascii="Times New Roman" w:hAnsi="Times New Roman" w:cs="Times New Roman"/>
          <w:i/>
          <w:iCs/>
          <w:lang w:val="vi-VN"/>
        </w:rPr>
        <w:t>(c) Nguyên liệu, vật liệu, công cụ, dụng cụ để sử dụng trong quá trình sản xuất, kinh doanh hoặc cung cấp dịch vụ.</w:t>
      </w:r>
    </w:p>
    <w:p w14:paraId="493E2F64" w14:textId="4C295490" w:rsidR="00846972" w:rsidRPr="001375C9" w:rsidRDefault="00846972"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Ngoài ra, chuẩn mực này cũng nêu ra những ví dụ về hàng tồn kho:</w:t>
      </w:r>
    </w:p>
    <w:p w14:paraId="53A47E7E" w14:textId="77777777" w:rsidR="00846972" w:rsidRPr="001375C9" w:rsidRDefault="00846972" w:rsidP="00994525">
      <w:pPr>
        <w:spacing w:line="360" w:lineRule="auto"/>
        <w:ind w:left="709"/>
        <w:jc w:val="both"/>
        <w:rPr>
          <w:rFonts w:ascii="Times New Roman" w:hAnsi="Times New Roman" w:cs="Times New Roman"/>
          <w:i/>
          <w:iCs/>
          <w:lang w:val="vi-VN"/>
        </w:rPr>
      </w:pPr>
      <w:r w:rsidRPr="001375C9">
        <w:rPr>
          <w:rFonts w:ascii="Times New Roman" w:hAnsi="Times New Roman" w:cs="Times New Roman"/>
          <w:i/>
          <w:iCs/>
          <w:lang w:val="vi-VN"/>
        </w:rPr>
        <w:t>Hàng tồn kho bao gồm:</w:t>
      </w:r>
    </w:p>
    <w:p w14:paraId="68958E7F" w14:textId="2049161F" w:rsidR="00846972" w:rsidRPr="001375C9" w:rsidRDefault="00846972" w:rsidP="00994525">
      <w:pPr>
        <w:pStyle w:val="ListParagraph"/>
        <w:numPr>
          <w:ilvl w:val="1"/>
          <w:numId w:val="5"/>
        </w:numPr>
        <w:spacing w:line="360" w:lineRule="auto"/>
        <w:ind w:left="1134" w:hanging="283"/>
        <w:jc w:val="both"/>
        <w:rPr>
          <w:rFonts w:ascii="Times New Roman" w:hAnsi="Times New Roman" w:cs="Times New Roman"/>
          <w:i/>
          <w:iCs/>
          <w:lang w:val="vi-VN"/>
        </w:rPr>
      </w:pPr>
      <w:r w:rsidRPr="001375C9">
        <w:rPr>
          <w:rFonts w:ascii="Times New Roman" w:hAnsi="Times New Roman" w:cs="Times New Roman"/>
          <w:i/>
          <w:iCs/>
          <w:lang w:val="vi-VN"/>
        </w:rPr>
        <w:t>Hàng hóa mua về để bán: Hàng hóa tồn kho, hàng mua đang đi trên đường, hàng gửi đi bán, hàng hóa gửi đi gia công chế biến;</w:t>
      </w:r>
    </w:p>
    <w:p w14:paraId="4C889F76" w14:textId="1A2B9A73" w:rsidR="00846972" w:rsidRPr="001375C9" w:rsidRDefault="00846972" w:rsidP="00994525">
      <w:pPr>
        <w:pStyle w:val="ListParagraph"/>
        <w:numPr>
          <w:ilvl w:val="1"/>
          <w:numId w:val="5"/>
        </w:numPr>
        <w:spacing w:line="360" w:lineRule="auto"/>
        <w:ind w:left="1134" w:hanging="283"/>
        <w:jc w:val="both"/>
        <w:rPr>
          <w:rFonts w:ascii="Times New Roman" w:hAnsi="Times New Roman" w:cs="Times New Roman"/>
          <w:i/>
          <w:iCs/>
          <w:lang w:val="vi-VN"/>
        </w:rPr>
      </w:pPr>
      <w:r w:rsidRPr="001375C9">
        <w:rPr>
          <w:rFonts w:ascii="Times New Roman" w:hAnsi="Times New Roman" w:cs="Times New Roman"/>
          <w:i/>
          <w:iCs/>
          <w:lang w:val="vi-VN"/>
        </w:rPr>
        <w:t>Thành phẩm tồn kho và thành phẩm gửi đi bán;</w:t>
      </w:r>
    </w:p>
    <w:p w14:paraId="305A5F57" w14:textId="3E0DF39F" w:rsidR="00846972" w:rsidRPr="001375C9" w:rsidRDefault="00846972" w:rsidP="00994525">
      <w:pPr>
        <w:pStyle w:val="ListParagraph"/>
        <w:numPr>
          <w:ilvl w:val="1"/>
          <w:numId w:val="5"/>
        </w:numPr>
        <w:spacing w:line="360" w:lineRule="auto"/>
        <w:ind w:left="1134" w:hanging="283"/>
        <w:jc w:val="both"/>
        <w:rPr>
          <w:rFonts w:ascii="Times New Roman" w:hAnsi="Times New Roman" w:cs="Times New Roman"/>
          <w:i/>
          <w:iCs/>
          <w:lang w:val="vi-VN"/>
        </w:rPr>
      </w:pPr>
      <w:r w:rsidRPr="001375C9">
        <w:rPr>
          <w:rFonts w:ascii="Times New Roman" w:hAnsi="Times New Roman" w:cs="Times New Roman"/>
          <w:i/>
          <w:iCs/>
          <w:lang w:val="vi-VN"/>
        </w:rPr>
        <w:t>Sản phẩm dở dang: Sản phẩm chưa hoàn thành và sản phẩm hoàn thành chưa làm thủ tục nhập kho thành phẩm;</w:t>
      </w:r>
    </w:p>
    <w:p w14:paraId="16084E8C" w14:textId="6A6CECA7" w:rsidR="00846972" w:rsidRPr="001375C9" w:rsidRDefault="00846972" w:rsidP="00994525">
      <w:pPr>
        <w:pStyle w:val="ListParagraph"/>
        <w:numPr>
          <w:ilvl w:val="1"/>
          <w:numId w:val="5"/>
        </w:numPr>
        <w:spacing w:line="360" w:lineRule="auto"/>
        <w:ind w:left="1134" w:hanging="283"/>
        <w:jc w:val="both"/>
        <w:rPr>
          <w:rFonts w:ascii="Times New Roman" w:hAnsi="Times New Roman" w:cs="Times New Roman"/>
          <w:i/>
          <w:iCs/>
          <w:lang w:val="vi-VN"/>
        </w:rPr>
      </w:pPr>
      <w:r w:rsidRPr="001375C9">
        <w:rPr>
          <w:rFonts w:ascii="Times New Roman" w:hAnsi="Times New Roman" w:cs="Times New Roman"/>
          <w:i/>
          <w:iCs/>
          <w:lang w:val="vi-VN"/>
        </w:rPr>
        <w:t>Nguyên liệu, vật liệu, công cụ, dụng cụ tồn kho, gửi đi gia công chế biến và đã mua đang đi trên đường;</w:t>
      </w:r>
    </w:p>
    <w:p w14:paraId="663E284A" w14:textId="567F0846" w:rsidR="00846972" w:rsidRPr="001375C9" w:rsidRDefault="00846972" w:rsidP="00994525">
      <w:pPr>
        <w:pStyle w:val="ListParagraph"/>
        <w:numPr>
          <w:ilvl w:val="1"/>
          <w:numId w:val="5"/>
        </w:numPr>
        <w:spacing w:line="360" w:lineRule="auto"/>
        <w:ind w:left="1134" w:hanging="283"/>
        <w:jc w:val="both"/>
        <w:rPr>
          <w:rFonts w:ascii="Times New Roman" w:hAnsi="Times New Roman" w:cs="Times New Roman"/>
          <w:i/>
          <w:iCs/>
          <w:lang w:val="vi-VN"/>
        </w:rPr>
      </w:pPr>
      <w:r w:rsidRPr="001375C9">
        <w:rPr>
          <w:rFonts w:ascii="Times New Roman" w:hAnsi="Times New Roman" w:cs="Times New Roman"/>
          <w:i/>
          <w:iCs/>
          <w:lang w:val="vi-VN"/>
        </w:rPr>
        <w:t>Chi phí dịch vụ dở dang.</w:t>
      </w:r>
    </w:p>
    <w:p w14:paraId="4F1EAF1A" w14:textId="3A099AC8" w:rsidR="00F461E9" w:rsidRPr="001375C9" w:rsidRDefault="00846972"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Nhìn chung, về bản chất, định nghĩa hàng tồn kho được đưa ra trong IAS 2 tương đối giống với định nghĩa mà được nhắc đến trong VAS 2. </w:t>
      </w:r>
      <w:r w:rsidR="00D32292" w:rsidRPr="001375C9">
        <w:rPr>
          <w:rFonts w:ascii="Times New Roman" w:hAnsi="Times New Roman" w:cs="Times New Roman"/>
          <w:lang w:val="vi-VN"/>
        </w:rPr>
        <w:t xml:space="preserve">Về việc đưa ra ví dụ minh hoạ hàng tồn kho, IAS 2 </w:t>
      </w:r>
      <w:r w:rsidR="003943AA" w:rsidRPr="001375C9">
        <w:rPr>
          <w:rFonts w:ascii="Times New Roman" w:hAnsi="Times New Roman" w:cs="Times New Roman"/>
          <w:lang w:val="vi-VN"/>
        </w:rPr>
        <w:t xml:space="preserve">phân loại hàng tồn kho theo loại hình doanh nghiệp, cụ thể doanh nghiệp thương mại, doanh nghiệp sản xuất và doanh nghiệp cung cấp dịch vụ. </w:t>
      </w:r>
      <w:r w:rsidR="00F461E9" w:rsidRPr="001375C9">
        <w:rPr>
          <w:rFonts w:ascii="Times New Roman" w:hAnsi="Times New Roman" w:cs="Times New Roman"/>
          <w:lang w:val="vi-VN"/>
        </w:rPr>
        <w:t xml:space="preserve">Trong khi đó, VAS 2 liệt kê cụ thể </w:t>
      </w:r>
      <w:r w:rsidR="00F461E9" w:rsidRPr="001375C9">
        <w:rPr>
          <w:rFonts w:ascii="Times New Roman" w:hAnsi="Times New Roman" w:cs="Times New Roman"/>
          <w:lang w:val="vi-VN"/>
        </w:rPr>
        <w:lastRenderedPageBreak/>
        <w:t>tất cả khoản mục được coi là hàng tồn kho mà không có sự phân loại. Một số khoản mục được</w:t>
      </w:r>
      <w:r w:rsidR="00ED283E" w:rsidRPr="001375C9">
        <w:rPr>
          <w:rFonts w:ascii="Times New Roman" w:hAnsi="Times New Roman" w:cs="Times New Roman"/>
          <w:lang w:val="vi-VN"/>
        </w:rPr>
        <w:t xml:space="preserve"> phân loại cụ thể hơn được</w:t>
      </w:r>
      <w:r w:rsidR="00F461E9" w:rsidRPr="001375C9">
        <w:rPr>
          <w:rFonts w:ascii="Times New Roman" w:hAnsi="Times New Roman" w:cs="Times New Roman"/>
          <w:lang w:val="vi-VN"/>
        </w:rPr>
        <w:t xml:space="preserve"> nhắc đến trong VAS 2 bao gồm hàng mua đang đi trên đường, hàng gửi đi bán, hàng hoá gửi đi gia công chế biến và thành phẩm gửi bán. Một đ</w:t>
      </w:r>
      <w:r w:rsidR="003943AA" w:rsidRPr="001375C9">
        <w:rPr>
          <w:rFonts w:ascii="Times New Roman" w:hAnsi="Times New Roman" w:cs="Times New Roman"/>
          <w:lang w:val="vi-VN"/>
        </w:rPr>
        <w:t>iểm khác biệt</w:t>
      </w:r>
      <w:r w:rsidR="00F461E9" w:rsidRPr="001375C9">
        <w:rPr>
          <w:rFonts w:ascii="Times New Roman" w:hAnsi="Times New Roman" w:cs="Times New Roman"/>
          <w:lang w:val="vi-VN"/>
        </w:rPr>
        <w:t xml:space="preserve"> </w:t>
      </w:r>
      <w:r w:rsidR="003943AA" w:rsidRPr="001375C9">
        <w:rPr>
          <w:rFonts w:ascii="Times New Roman" w:hAnsi="Times New Roman" w:cs="Times New Roman"/>
          <w:lang w:val="vi-VN"/>
        </w:rPr>
        <w:t>với VAS 2</w:t>
      </w:r>
      <w:r w:rsidR="00F461E9" w:rsidRPr="001375C9">
        <w:rPr>
          <w:rFonts w:ascii="Times New Roman" w:hAnsi="Times New Roman" w:cs="Times New Roman"/>
          <w:lang w:val="vi-VN"/>
        </w:rPr>
        <w:t xml:space="preserve"> khác</w:t>
      </w:r>
      <w:r w:rsidR="003943AA" w:rsidRPr="001375C9">
        <w:rPr>
          <w:rFonts w:ascii="Times New Roman" w:hAnsi="Times New Roman" w:cs="Times New Roman"/>
          <w:lang w:val="vi-VN"/>
        </w:rPr>
        <w:t>, đó là ngoài hàng hoá mua về để bán thì IAS 2 chỉ ra hàng tồn kho cũng bao gồm đất đai và tài sản khác được giữ để bán lại (held-for-resale)</w:t>
      </w:r>
      <w:r w:rsidR="00994525" w:rsidRPr="001375C9">
        <w:rPr>
          <w:rFonts w:ascii="Times New Roman" w:hAnsi="Times New Roman" w:cs="Times New Roman"/>
          <w:lang w:val="vi-VN"/>
        </w:rPr>
        <w:t>.</w:t>
      </w:r>
    </w:p>
    <w:p w14:paraId="06D32E4D" w14:textId="1785CEAC" w:rsidR="007B6AC6" w:rsidRPr="001375C9" w:rsidRDefault="00994525" w:rsidP="00994525">
      <w:pPr>
        <w:spacing w:before="240" w:line="360" w:lineRule="auto"/>
        <w:jc w:val="both"/>
        <w:rPr>
          <w:rFonts w:ascii="Times New Roman" w:hAnsi="Times New Roman" w:cs="Times New Roman"/>
          <w:b/>
          <w:bCs/>
          <w:lang w:val="vi-VN"/>
        </w:rPr>
      </w:pPr>
      <w:r w:rsidRPr="001375C9">
        <w:rPr>
          <w:rFonts w:ascii="Times New Roman" w:hAnsi="Times New Roman" w:cs="Times New Roman"/>
          <w:b/>
          <w:bCs/>
          <w:lang w:val="vi-VN"/>
        </w:rPr>
        <w:t>C. KẾ TOÁN HÀNG TỒN KHO THEO IAS 2</w:t>
      </w:r>
    </w:p>
    <w:p w14:paraId="4DA0CE64" w14:textId="48AE554A" w:rsidR="00740C4D" w:rsidRPr="001375C9" w:rsidRDefault="00740C4D"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Hai vấn đề c</w:t>
      </w:r>
      <w:r w:rsidR="00ED283E" w:rsidRPr="001375C9">
        <w:rPr>
          <w:rFonts w:ascii="Times New Roman" w:hAnsi="Times New Roman" w:cs="Times New Roman"/>
          <w:lang w:val="vi-VN"/>
        </w:rPr>
        <w:t>hính</w:t>
      </w:r>
      <w:r w:rsidRPr="001375C9">
        <w:rPr>
          <w:rFonts w:ascii="Times New Roman" w:hAnsi="Times New Roman" w:cs="Times New Roman"/>
          <w:lang w:val="vi-VN"/>
        </w:rPr>
        <w:t xml:space="preserve"> cần phải được thực hiện trong kế toán hàng tồn kho đó là: (1) xác định gi</w:t>
      </w:r>
      <w:r w:rsidR="00F461E9" w:rsidRPr="001375C9">
        <w:rPr>
          <w:rFonts w:ascii="Times New Roman" w:hAnsi="Times New Roman" w:cs="Times New Roman"/>
          <w:lang w:val="vi-VN"/>
        </w:rPr>
        <w:t xml:space="preserve">á trị báo cáo </w:t>
      </w:r>
      <w:r w:rsidRPr="001375C9">
        <w:rPr>
          <w:rFonts w:ascii="Times New Roman" w:hAnsi="Times New Roman" w:cs="Times New Roman"/>
          <w:lang w:val="vi-VN"/>
        </w:rPr>
        <w:t xml:space="preserve">của đơn vị hàng tồn kho, và (2) xác định giá phí của những hàng hoá được bán (giá vốn hàng bán). </w:t>
      </w:r>
    </w:p>
    <w:p w14:paraId="630AC462" w14:textId="799A88C0" w:rsidR="00994525" w:rsidRPr="001375C9" w:rsidRDefault="00994525" w:rsidP="00994525">
      <w:pPr>
        <w:spacing w:before="240" w:line="360" w:lineRule="auto"/>
        <w:jc w:val="both"/>
        <w:rPr>
          <w:rFonts w:ascii="Times New Roman" w:hAnsi="Times New Roman" w:cs="Times New Roman"/>
          <w:b/>
          <w:bCs/>
          <w:lang w:val="vi-VN"/>
        </w:rPr>
      </w:pPr>
      <w:r w:rsidRPr="001375C9">
        <w:rPr>
          <w:rFonts w:ascii="Times New Roman" w:hAnsi="Times New Roman" w:cs="Times New Roman"/>
          <w:b/>
          <w:bCs/>
          <w:lang w:val="vi-VN"/>
        </w:rPr>
        <w:t xml:space="preserve">(1) Xác định giá trị báo cáo của hàng tồn kho </w:t>
      </w:r>
    </w:p>
    <w:p w14:paraId="4A42D4A5" w14:textId="06D8C3BD" w:rsidR="00ED283E" w:rsidRPr="001375C9" w:rsidRDefault="00740C4D"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Về vấn đề đầu tiên (1), </w:t>
      </w:r>
      <w:r w:rsidR="00994525" w:rsidRPr="001375C9">
        <w:rPr>
          <w:rFonts w:ascii="Times New Roman" w:hAnsi="Times New Roman" w:cs="Times New Roman"/>
          <w:lang w:val="vi-VN"/>
        </w:rPr>
        <w:t>C</w:t>
      </w:r>
      <w:r w:rsidRPr="001375C9">
        <w:rPr>
          <w:rFonts w:ascii="Times New Roman" w:hAnsi="Times New Roman" w:cs="Times New Roman"/>
          <w:lang w:val="vi-VN"/>
        </w:rPr>
        <w:t xml:space="preserve">huẩn mực </w:t>
      </w:r>
      <w:r w:rsidR="00994525" w:rsidRPr="001375C9">
        <w:rPr>
          <w:rFonts w:ascii="Times New Roman" w:hAnsi="Times New Roman" w:cs="Times New Roman"/>
          <w:lang w:val="vi-VN"/>
        </w:rPr>
        <w:t>k</w:t>
      </w:r>
      <w:r w:rsidRPr="001375C9">
        <w:rPr>
          <w:rFonts w:ascii="Times New Roman" w:hAnsi="Times New Roman" w:cs="Times New Roman"/>
          <w:lang w:val="vi-VN"/>
        </w:rPr>
        <w:t>ế toán Quốc tế IAS 2 ghi rằng</w:t>
      </w:r>
      <w:r w:rsidR="007F4047" w:rsidRPr="001375C9">
        <w:rPr>
          <w:rFonts w:ascii="Times New Roman" w:hAnsi="Times New Roman" w:cs="Times New Roman"/>
          <w:lang w:val="vi-VN"/>
        </w:rPr>
        <w:t>:</w:t>
      </w:r>
      <w:r w:rsidRPr="001375C9">
        <w:rPr>
          <w:rFonts w:ascii="Times New Roman" w:hAnsi="Times New Roman" w:cs="Times New Roman"/>
          <w:lang w:val="vi-VN"/>
        </w:rPr>
        <w:t xml:space="preserve"> ‘Hàng tồn kho phải được đo lường theo giá thấp hơn giữa giá </w:t>
      </w:r>
      <w:r w:rsidR="00F461E9" w:rsidRPr="001375C9">
        <w:rPr>
          <w:rFonts w:ascii="Times New Roman" w:hAnsi="Times New Roman" w:cs="Times New Roman"/>
          <w:lang w:val="vi-VN"/>
        </w:rPr>
        <w:t xml:space="preserve">gốc </w:t>
      </w:r>
      <w:r w:rsidRPr="001375C9">
        <w:rPr>
          <w:rFonts w:ascii="Times New Roman" w:hAnsi="Times New Roman" w:cs="Times New Roman"/>
          <w:lang w:val="vi-VN"/>
        </w:rPr>
        <w:t>(cost) và giá trị thuần có thể thực hiện được (net realisable value)’ (đoạn 9).</w:t>
      </w:r>
      <w:r w:rsidR="00B21AFD" w:rsidRPr="001375C9">
        <w:rPr>
          <w:rFonts w:ascii="Times New Roman" w:hAnsi="Times New Roman" w:cs="Times New Roman"/>
          <w:lang w:val="vi-VN"/>
        </w:rPr>
        <w:t xml:space="preserve"> </w:t>
      </w:r>
    </w:p>
    <w:p w14:paraId="5B43D4FA" w14:textId="042D771D" w:rsidR="00ED283E" w:rsidRPr="001375C9" w:rsidRDefault="00ED283E" w:rsidP="00994525">
      <w:pPr>
        <w:spacing w:line="360" w:lineRule="auto"/>
        <w:jc w:val="center"/>
        <w:rPr>
          <w:rFonts w:ascii="Times New Roman" w:hAnsi="Times New Roman" w:cs="Times New Roman"/>
          <w:lang w:val="vi-VN"/>
        </w:rPr>
      </w:pPr>
      <w:r w:rsidRPr="001375C9">
        <w:rPr>
          <w:rFonts w:ascii="Times New Roman" w:hAnsi="Times New Roman" w:cs="Times New Roman"/>
          <w:noProof/>
          <w:lang w:val="vi-VN"/>
        </w:rPr>
        <w:drawing>
          <wp:inline distT="0" distB="0" distL="0" distR="0" wp14:anchorId="5F3F5492" wp14:editId="1B9C585B">
            <wp:extent cx="4521200" cy="2197100"/>
            <wp:effectExtent l="0" t="0" r="0" b="0"/>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521200" cy="2197100"/>
                    </a:xfrm>
                    <a:prstGeom prst="rect">
                      <a:avLst/>
                    </a:prstGeom>
                  </pic:spPr>
                </pic:pic>
              </a:graphicData>
            </a:graphic>
          </wp:inline>
        </w:drawing>
      </w:r>
    </w:p>
    <w:p w14:paraId="28B49323" w14:textId="1885A226" w:rsidR="00ED283E" w:rsidRPr="001375C9" w:rsidRDefault="00740C4D"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Cũng theo chuẩn mực này (đoạn 10), giá </w:t>
      </w:r>
      <w:r w:rsidR="00F461E9" w:rsidRPr="001375C9">
        <w:rPr>
          <w:rFonts w:ascii="Times New Roman" w:hAnsi="Times New Roman" w:cs="Times New Roman"/>
          <w:lang w:val="vi-VN"/>
        </w:rPr>
        <w:t xml:space="preserve">gốc </w:t>
      </w:r>
      <w:r w:rsidRPr="001375C9">
        <w:rPr>
          <w:rFonts w:ascii="Times New Roman" w:hAnsi="Times New Roman" w:cs="Times New Roman"/>
          <w:lang w:val="vi-VN"/>
        </w:rPr>
        <w:t xml:space="preserve">của hàng tồn kho được định nghĩa như sau: ‘Giá </w:t>
      </w:r>
      <w:r w:rsidR="00F461E9" w:rsidRPr="001375C9">
        <w:rPr>
          <w:rFonts w:ascii="Times New Roman" w:hAnsi="Times New Roman" w:cs="Times New Roman"/>
          <w:lang w:val="vi-VN"/>
        </w:rPr>
        <w:t>gốc</w:t>
      </w:r>
      <w:r w:rsidRPr="001375C9">
        <w:rPr>
          <w:rFonts w:ascii="Times New Roman" w:hAnsi="Times New Roman" w:cs="Times New Roman"/>
          <w:lang w:val="vi-VN"/>
        </w:rPr>
        <w:t xml:space="preserve"> của hàng tồn kho phải bao gồm tất cả chi phí mua hàng (cost of purchase), chi phí </w:t>
      </w:r>
      <w:r w:rsidR="00F461E9" w:rsidRPr="001375C9">
        <w:rPr>
          <w:rFonts w:ascii="Times New Roman" w:hAnsi="Times New Roman" w:cs="Times New Roman"/>
          <w:lang w:val="vi-VN"/>
        </w:rPr>
        <w:t>chế biến</w:t>
      </w:r>
      <w:r w:rsidRPr="001375C9">
        <w:rPr>
          <w:rFonts w:ascii="Times New Roman" w:hAnsi="Times New Roman" w:cs="Times New Roman"/>
          <w:lang w:val="vi-VN"/>
        </w:rPr>
        <w:t xml:space="preserve"> (cost of conversion) và các chi phí khác phát sinh để đưa hàng tồn kho về vị trí và trạng thái hiện tại (other co</w:t>
      </w:r>
      <w:r w:rsidRPr="001375C9">
        <w:rPr>
          <w:rFonts w:ascii="Times New Roman" w:hAnsi="Times New Roman" w:cs="Times New Roman"/>
          <w:lang w:val="en-GB"/>
        </w:rPr>
        <w:t>sts incurred in bringing the inventories to their present location and condition</w:t>
      </w:r>
      <w:r w:rsidRPr="001375C9">
        <w:rPr>
          <w:rFonts w:ascii="Times New Roman" w:hAnsi="Times New Roman" w:cs="Times New Roman"/>
          <w:lang w:val="vi-VN"/>
        </w:rPr>
        <w:t xml:space="preserve">)’. </w:t>
      </w:r>
      <w:r w:rsidR="00ED283E" w:rsidRPr="001375C9">
        <w:rPr>
          <w:rFonts w:ascii="Times New Roman" w:hAnsi="Times New Roman" w:cs="Times New Roman"/>
          <w:lang w:val="vi-VN"/>
        </w:rPr>
        <w:t>Trong đó:</w:t>
      </w:r>
    </w:p>
    <w:p w14:paraId="729B26B7" w14:textId="77777777" w:rsidR="00ED283E" w:rsidRPr="001375C9" w:rsidRDefault="00ED283E" w:rsidP="00994525">
      <w:pPr>
        <w:pStyle w:val="ListParagraph"/>
        <w:numPr>
          <w:ilvl w:val="0"/>
          <w:numId w:val="6"/>
        </w:numPr>
        <w:spacing w:line="360" w:lineRule="auto"/>
        <w:ind w:left="709" w:hanging="425"/>
        <w:jc w:val="both"/>
        <w:rPr>
          <w:rFonts w:ascii="Times New Roman" w:hAnsi="Times New Roman" w:cs="Times New Roman"/>
          <w:lang w:val="vi-VN"/>
        </w:rPr>
      </w:pPr>
      <w:r w:rsidRPr="001375C9">
        <w:rPr>
          <w:rFonts w:ascii="Times New Roman" w:hAnsi="Times New Roman" w:cs="Times New Roman"/>
          <w:i/>
          <w:iCs/>
          <w:lang w:val="vi-VN"/>
        </w:rPr>
        <w:t>Chi phí mua hàng</w:t>
      </w:r>
      <w:r w:rsidRPr="001375C9">
        <w:rPr>
          <w:rFonts w:ascii="Times New Roman" w:hAnsi="Times New Roman" w:cs="Times New Roman"/>
          <w:lang w:val="vi-VN"/>
        </w:rPr>
        <w:t>: giá mua (purchase price), thuế nhập khẩu (import duties), thuế không hoàn lại (non-refundable taxes). Không bao gồm chiết khấu thương mại và giảm giá (trade discounts and rebates).</w:t>
      </w:r>
    </w:p>
    <w:p w14:paraId="45292913" w14:textId="667B98E8" w:rsidR="00ED283E" w:rsidRPr="001375C9" w:rsidRDefault="00ED283E" w:rsidP="00994525">
      <w:pPr>
        <w:pStyle w:val="ListParagraph"/>
        <w:numPr>
          <w:ilvl w:val="0"/>
          <w:numId w:val="6"/>
        </w:numPr>
        <w:spacing w:line="360" w:lineRule="auto"/>
        <w:ind w:left="709" w:hanging="425"/>
        <w:jc w:val="both"/>
        <w:rPr>
          <w:rFonts w:ascii="Times New Roman" w:hAnsi="Times New Roman" w:cs="Times New Roman"/>
          <w:lang w:val="vi-VN"/>
        </w:rPr>
      </w:pPr>
      <w:r w:rsidRPr="001375C9">
        <w:rPr>
          <w:rFonts w:ascii="Times New Roman" w:hAnsi="Times New Roman" w:cs="Times New Roman"/>
          <w:i/>
          <w:iCs/>
          <w:lang w:val="vi-VN"/>
        </w:rPr>
        <w:t>Chi phí chế biến</w:t>
      </w:r>
      <w:r w:rsidRPr="001375C9">
        <w:rPr>
          <w:rFonts w:ascii="Times New Roman" w:hAnsi="Times New Roman" w:cs="Times New Roman"/>
          <w:lang w:val="vi-VN"/>
        </w:rPr>
        <w:t>: chi phí nhân công lao động trực tiếp (direct labour), chi phí sản xuất chung cố định và biến đổi được phân bổ có hệ thống (systematic allocation of fixed and variable overheads).</w:t>
      </w:r>
    </w:p>
    <w:p w14:paraId="59AA3AB5" w14:textId="3EE26F9F" w:rsidR="00ED283E" w:rsidRPr="001375C9" w:rsidRDefault="00ED283E" w:rsidP="00994525">
      <w:pPr>
        <w:pStyle w:val="ListParagraph"/>
        <w:numPr>
          <w:ilvl w:val="0"/>
          <w:numId w:val="6"/>
        </w:numPr>
        <w:spacing w:line="360" w:lineRule="auto"/>
        <w:ind w:left="709" w:hanging="425"/>
        <w:jc w:val="both"/>
        <w:rPr>
          <w:rFonts w:ascii="Times New Roman" w:hAnsi="Times New Roman" w:cs="Times New Roman"/>
          <w:lang w:val="vi-VN"/>
        </w:rPr>
      </w:pPr>
      <w:r w:rsidRPr="001375C9">
        <w:rPr>
          <w:rFonts w:ascii="Times New Roman" w:hAnsi="Times New Roman" w:cs="Times New Roman"/>
          <w:i/>
          <w:iCs/>
          <w:lang w:val="vi-VN"/>
        </w:rPr>
        <w:t>Chi phí khác</w:t>
      </w:r>
      <w:r w:rsidRPr="001375C9">
        <w:rPr>
          <w:rFonts w:ascii="Times New Roman" w:hAnsi="Times New Roman" w:cs="Times New Roman"/>
          <w:lang w:val="vi-VN"/>
        </w:rPr>
        <w:t xml:space="preserve"> để đưa hàng tồn kho đến vị trí và điều kiện sử dụng hiện tại. Ví dụ, chi phí thiết kế sản phẩm riêng cho khách hàng, chi phí đóng gói ban đầu, etc.</w:t>
      </w:r>
    </w:p>
    <w:p w14:paraId="6F1EA08D" w14:textId="770A8E40" w:rsidR="00D85C3F" w:rsidRPr="001375C9" w:rsidRDefault="00D85C3F"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lastRenderedPageBreak/>
        <w:t>Giá gốc của hàng tồn kho sẽ KHÔNG bao gồm:</w:t>
      </w:r>
    </w:p>
    <w:p w14:paraId="05022555" w14:textId="77777777" w:rsidR="00D85C3F" w:rsidRPr="001375C9" w:rsidRDefault="00D85C3F" w:rsidP="00994525">
      <w:pPr>
        <w:pStyle w:val="ListParagraph"/>
        <w:numPr>
          <w:ilvl w:val="0"/>
          <w:numId w:val="7"/>
        </w:numPr>
        <w:spacing w:line="360" w:lineRule="auto"/>
        <w:jc w:val="both"/>
        <w:rPr>
          <w:rFonts w:ascii="Times New Roman" w:hAnsi="Times New Roman" w:cs="Times New Roman"/>
          <w:lang w:val="vi-VN"/>
        </w:rPr>
      </w:pPr>
      <w:r w:rsidRPr="001375C9">
        <w:rPr>
          <w:rFonts w:ascii="Times New Roman" w:hAnsi="Times New Roman" w:cs="Times New Roman"/>
          <w:lang w:val="vi-VN"/>
        </w:rPr>
        <w:t>Chi phí bất thường (ví dụ: chi phí nguyên vật liệu lãng phí),</w:t>
      </w:r>
    </w:p>
    <w:p w14:paraId="3E5ED4C4" w14:textId="77777777" w:rsidR="00D85C3F" w:rsidRPr="001375C9" w:rsidRDefault="00D85C3F" w:rsidP="00994525">
      <w:pPr>
        <w:pStyle w:val="ListParagraph"/>
        <w:numPr>
          <w:ilvl w:val="0"/>
          <w:numId w:val="7"/>
        </w:numPr>
        <w:spacing w:line="360" w:lineRule="auto"/>
        <w:jc w:val="both"/>
        <w:rPr>
          <w:rFonts w:ascii="Times New Roman" w:hAnsi="Times New Roman" w:cs="Times New Roman"/>
          <w:lang w:val="vi-VN"/>
        </w:rPr>
      </w:pPr>
      <w:r w:rsidRPr="001375C9">
        <w:rPr>
          <w:rFonts w:ascii="Times New Roman" w:hAnsi="Times New Roman" w:cs="Times New Roman"/>
          <w:lang w:val="vi-VN"/>
        </w:rPr>
        <w:t>Chi phí lưu kho, trừ việc lưu kho cần thiết giữa các giai đoạn sản xuất,</w:t>
      </w:r>
    </w:p>
    <w:p w14:paraId="57154775" w14:textId="77777777" w:rsidR="00D85C3F" w:rsidRPr="001375C9" w:rsidRDefault="00D85C3F" w:rsidP="00994525">
      <w:pPr>
        <w:pStyle w:val="ListParagraph"/>
        <w:numPr>
          <w:ilvl w:val="0"/>
          <w:numId w:val="7"/>
        </w:numPr>
        <w:spacing w:line="360" w:lineRule="auto"/>
        <w:jc w:val="both"/>
        <w:rPr>
          <w:rFonts w:ascii="Times New Roman" w:hAnsi="Times New Roman" w:cs="Times New Roman"/>
          <w:lang w:val="vi-VN"/>
        </w:rPr>
      </w:pPr>
      <w:r w:rsidRPr="001375C9">
        <w:rPr>
          <w:rFonts w:ascii="Times New Roman" w:hAnsi="Times New Roman" w:cs="Times New Roman"/>
          <w:lang w:val="vi-VN"/>
        </w:rPr>
        <w:t>Chi phí quản lý chung, hoặc</w:t>
      </w:r>
    </w:p>
    <w:p w14:paraId="5DCDC3F8" w14:textId="66632EB1" w:rsidR="00ED283E" w:rsidRPr="001375C9" w:rsidRDefault="00D85C3F" w:rsidP="00994525">
      <w:pPr>
        <w:pStyle w:val="ListParagraph"/>
        <w:numPr>
          <w:ilvl w:val="0"/>
          <w:numId w:val="7"/>
        </w:numPr>
        <w:spacing w:line="360" w:lineRule="auto"/>
        <w:jc w:val="both"/>
        <w:rPr>
          <w:rFonts w:ascii="Times New Roman" w:hAnsi="Times New Roman" w:cs="Times New Roman"/>
          <w:lang w:val="vi-VN"/>
        </w:rPr>
      </w:pPr>
      <w:r w:rsidRPr="001375C9">
        <w:rPr>
          <w:rFonts w:ascii="Times New Roman" w:hAnsi="Times New Roman" w:cs="Times New Roman"/>
          <w:lang w:val="vi-VN"/>
        </w:rPr>
        <w:t>Chi phí bán hàng.</w:t>
      </w:r>
    </w:p>
    <w:p w14:paraId="2132A64C" w14:textId="5C7CFFA4" w:rsidR="007B6AC6" w:rsidRPr="001375C9" w:rsidRDefault="00D85C3F"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Định nghĩa về </w:t>
      </w:r>
      <w:r w:rsidR="00740C4D" w:rsidRPr="001375C9">
        <w:rPr>
          <w:rFonts w:ascii="Times New Roman" w:hAnsi="Times New Roman" w:cs="Times New Roman"/>
          <w:lang w:val="vi-VN"/>
        </w:rPr>
        <w:t xml:space="preserve">giá trị thuần có thể thực hiện được </w:t>
      </w:r>
      <w:r w:rsidRPr="001375C9">
        <w:rPr>
          <w:rFonts w:ascii="Times New Roman" w:hAnsi="Times New Roman" w:cs="Times New Roman"/>
          <w:lang w:val="vi-VN"/>
        </w:rPr>
        <w:t>cũng được chỉ rõ trong chuẩn mực IAS 2:</w:t>
      </w:r>
      <w:r w:rsidR="00740C4D" w:rsidRPr="001375C9">
        <w:rPr>
          <w:rFonts w:ascii="Times New Roman" w:hAnsi="Times New Roman" w:cs="Times New Roman"/>
          <w:lang w:val="vi-VN"/>
        </w:rPr>
        <w:t xml:space="preserve"> </w:t>
      </w:r>
      <w:r w:rsidRPr="001375C9">
        <w:rPr>
          <w:rFonts w:ascii="Times New Roman" w:hAnsi="Times New Roman" w:cs="Times New Roman"/>
          <w:lang w:val="vi-VN"/>
        </w:rPr>
        <w:t>“G</w:t>
      </w:r>
      <w:r w:rsidR="00740C4D" w:rsidRPr="001375C9">
        <w:rPr>
          <w:rFonts w:ascii="Times New Roman" w:hAnsi="Times New Roman" w:cs="Times New Roman"/>
          <w:lang w:val="vi-VN"/>
        </w:rPr>
        <w:t>iá bán ước tính trong hoạt động kinh doanh thông thường (the es</w:t>
      </w:r>
      <w:r w:rsidR="00740C4D" w:rsidRPr="001375C9">
        <w:rPr>
          <w:rFonts w:ascii="Times New Roman" w:hAnsi="Times New Roman" w:cs="Times New Roman"/>
          <w:lang w:val="en-GB"/>
        </w:rPr>
        <w:t>timated selling price in the ordinary course of business</w:t>
      </w:r>
      <w:r w:rsidR="00740C4D" w:rsidRPr="001375C9">
        <w:rPr>
          <w:rFonts w:ascii="Times New Roman" w:hAnsi="Times New Roman" w:cs="Times New Roman"/>
          <w:lang w:val="vi-VN"/>
        </w:rPr>
        <w:t>) trừ chi phí hoàn thành ước tính</w:t>
      </w:r>
      <w:r w:rsidR="00740C4D" w:rsidRPr="001375C9">
        <w:rPr>
          <w:rFonts w:ascii="Times New Roman" w:hAnsi="Times New Roman" w:cs="Times New Roman"/>
          <w:lang w:val="en-GB"/>
        </w:rPr>
        <w:t xml:space="preserve"> (the estimated costs of completion)</w:t>
      </w:r>
      <w:r w:rsidR="00740C4D" w:rsidRPr="001375C9">
        <w:rPr>
          <w:rFonts w:ascii="Times New Roman" w:hAnsi="Times New Roman" w:cs="Times New Roman"/>
          <w:lang w:val="vi-VN"/>
        </w:rPr>
        <w:t xml:space="preserve"> và chi phí bán hàng ước tính</w:t>
      </w:r>
      <w:r w:rsidR="00740C4D" w:rsidRPr="001375C9">
        <w:rPr>
          <w:rFonts w:ascii="Times New Roman" w:hAnsi="Times New Roman" w:cs="Times New Roman"/>
          <w:lang w:val="en-GB"/>
        </w:rPr>
        <w:t xml:space="preserve"> (the estimated costs necessary to make the sale)</w:t>
      </w:r>
      <w:r w:rsidRPr="001375C9">
        <w:rPr>
          <w:rFonts w:ascii="Times New Roman" w:hAnsi="Times New Roman" w:cs="Times New Roman"/>
          <w:lang w:val="vi-VN"/>
        </w:rPr>
        <w:t xml:space="preserve">”. </w:t>
      </w:r>
    </w:p>
    <w:p w14:paraId="30B4833B" w14:textId="4806802E" w:rsidR="00B21AFD" w:rsidRPr="001375C9" w:rsidRDefault="00B21AFD"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Yêu cầu này tuân thủ theo đúng nguyên tắc thận trọng (conservatism principle) của kế toán. Tức là, </w:t>
      </w:r>
      <w:r w:rsidR="00032E7A" w:rsidRPr="001375C9">
        <w:rPr>
          <w:rFonts w:ascii="Times New Roman" w:hAnsi="Times New Roman" w:cs="Times New Roman"/>
          <w:lang w:val="vi-VN"/>
        </w:rPr>
        <w:t>vào cuối mỗi kỳ trước khi lập báo cáo</w:t>
      </w:r>
      <w:r w:rsidR="00A04AF6" w:rsidRPr="001375C9">
        <w:rPr>
          <w:rFonts w:ascii="Times New Roman" w:hAnsi="Times New Roman" w:cs="Times New Roman"/>
          <w:lang w:val="vi-VN"/>
        </w:rPr>
        <w:t xml:space="preserve"> (thường là năm)</w:t>
      </w:r>
      <w:r w:rsidR="00032E7A" w:rsidRPr="001375C9">
        <w:rPr>
          <w:rFonts w:ascii="Times New Roman" w:hAnsi="Times New Roman" w:cs="Times New Roman"/>
          <w:lang w:val="vi-VN"/>
        </w:rPr>
        <w:t xml:space="preserve">, </w:t>
      </w:r>
      <w:r w:rsidRPr="001375C9">
        <w:rPr>
          <w:rFonts w:ascii="Times New Roman" w:hAnsi="Times New Roman" w:cs="Times New Roman"/>
          <w:lang w:val="vi-VN"/>
        </w:rPr>
        <w:t xml:space="preserve">kế toán cần đánh giá và xem xét giá gốc và giá trị thuần có thể thực hiện được của hàng tồn kho, vì vậy mỗi đơn vị hàng tồn kho cần xác định cả giá gốc và giá trị thuần có thể thực hiện được. Trong trường hợp giá trị thuần có thể thực hiện được của hàng tồn kho thấp hơn giá gốc của nó thì giá trị báo cáo của hàng tồn kho sẽ phải ghi nhận theo giá trị thuần có thể thực hiện được. Có một vài lý do được đưa ra giải thích tại sao giá trị thuần có thể thực hiện được thấp hơn giá gốc, bao gồm: giá bán của hàng tồn kho bị giảm, hàng tồn kho hỏng hóc, hư hại trong quá trình sản xuất hoặc vận chuyển, doanh nghiệp cố tình bán lỗ. </w:t>
      </w:r>
    </w:p>
    <w:p w14:paraId="44C6AF6F" w14:textId="6257C843" w:rsidR="00994525" w:rsidRPr="001375C9" w:rsidRDefault="00994525" w:rsidP="00994525">
      <w:pPr>
        <w:spacing w:line="360" w:lineRule="auto"/>
        <w:ind w:left="720"/>
        <w:jc w:val="both"/>
        <w:rPr>
          <w:rFonts w:ascii="Times New Roman" w:hAnsi="Times New Roman" w:cs="Times New Roman"/>
          <w:b/>
          <w:bCs/>
          <w:lang w:val="vi-VN"/>
        </w:rPr>
      </w:pPr>
      <w:r w:rsidRPr="001375C9">
        <w:rPr>
          <w:rFonts w:ascii="Times New Roman" w:hAnsi="Times New Roman" w:cs="Times New Roman"/>
          <w:b/>
          <w:bCs/>
          <w:lang w:val="vi-VN"/>
        </w:rPr>
        <w:t>MINH HOẠ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804"/>
        <w:gridCol w:w="1224"/>
      </w:tblGrid>
      <w:tr w:rsidR="00994525" w:rsidRPr="001375C9" w14:paraId="5F03CEF3" w14:textId="77777777" w:rsidTr="00994525">
        <w:tc>
          <w:tcPr>
            <w:tcW w:w="988" w:type="dxa"/>
          </w:tcPr>
          <w:p w14:paraId="26966FC7" w14:textId="77777777" w:rsidR="00994525" w:rsidRPr="001375C9" w:rsidRDefault="00994525" w:rsidP="00994525">
            <w:pPr>
              <w:spacing w:line="360" w:lineRule="auto"/>
              <w:jc w:val="both"/>
              <w:rPr>
                <w:rFonts w:ascii="Times New Roman" w:hAnsi="Times New Roman" w:cs="Times New Roman"/>
                <w:lang w:val="vi-VN"/>
              </w:rPr>
            </w:pPr>
          </w:p>
        </w:tc>
        <w:tc>
          <w:tcPr>
            <w:tcW w:w="6804" w:type="dxa"/>
          </w:tcPr>
          <w:p w14:paraId="0DAE12EC" w14:textId="77777777" w:rsidR="00994525" w:rsidRPr="001375C9" w:rsidRDefault="00994525" w:rsidP="00994525">
            <w:pPr>
              <w:spacing w:line="360" w:lineRule="auto"/>
              <w:jc w:val="both"/>
              <w:rPr>
                <w:rFonts w:ascii="Times New Roman" w:hAnsi="Times New Roman" w:cs="Times New Roman"/>
                <w:i/>
                <w:iCs/>
                <w:lang w:val="vi-VN"/>
              </w:rPr>
            </w:pPr>
            <w:r w:rsidRPr="001375C9">
              <w:rPr>
                <w:rFonts w:ascii="Times New Roman" w:hAnsi="Times New Roman" w:cs="Times New Roman"/>
                <w:i/>
                <w:iCs/>
                <w:lang w:val="vi-VN"/>
              </w:rPr>
              <w:t>Hàng tồn kho của một công ty có ba sản phẩm có giá trị như sau:</w:t>
            </w:r>
          </w:p>
          <w:p w14:paraId="6A18AEFD" w14:textId="77777777" w:rsidR="00994525" w:rsidRPr="001375C9" w:rsidRDefault="00994525" w:rsidP="00994525">
            <w:pPr>
              <w:spacing w:line="360" w:lineRule="auto"/>
              <w:jc w:val="both"/>
              <w:rPr>
                <w:rFonts w:ascii="Times New Roman" w:hAnsi="Times New Roman" w:cs="Times New Roman"/>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832"/>
              <w:gridCol w:w="2097"/>
              <w:gridCol w:w="216"/>
            </w:tblGrid>
            <w:tr w:rsidR="00994525" w:rsidRPr="001375C9" w14:paraId="0C7BD934" w14:textId="77777777" w:rsidTr="005625BF">
              <w:trPr>
                <w:jc w:val="center"/>
              </w:trPr>
              <w:tc>
                <w:tcPr>
                  <w:tcW w:w="1466" w:type="dxa"/>
                </w:tcPr>
                <w:p w14:paraId="4FFE1625" w14:textId="77777777" w:rsidR="00994525" w:rsidRPr="001375C9" w:rsidRDefault="00994525" w:rsidP="00994525">
                  <w:pPr>
                    <w:spacing w:line="360" w:lineRule="auto"/>
                    <w:jc w:val="both"/>
                    <w:rPr>
                      <w:rFonts w:ascii="Times New Roman" w:hAnsi="Times New Roman" w:cs="Times New Roman"/>
                      <w:b/>
                      <w:bCs/>
                      <w:lang w:val="vi-VN"/>
                    </w:rPr>
                  </w:pPr>
                  <w:r w:rsidRPr="001375C9">
                    <w:rPr>
                      <w:rFonts w:ascii="Times New Roman" w:hAnsi="Times New Roman" w:cs="Times New Roman"/>
                      <w:b/>
                      <w:bCs/>
                      <w:lang w:val="vi-VN"/>
                    </w:rPr>
                    <w:t xml:space="preserve">Sản phẩm </w:t>
                  </w:r>
                </w:p>
              </w:tc>
              <w:tc>
                <w:tcPr>
                  <w:tcW w:w="832" w:type="dxa"/>
                </w:tcPr>
                <w:p w14:paraId="61A47B68" w14:textId="77777777" w:rsidR="00994525" w:rsidRPr="001375C9" w:rsidRDefault="00994525" w:rsidP="00994525">
                  <w:pPr>
                    <w:spacing w:line="360" w:lineRule="auto"/>
                    <w:jc w:val="center"/>
                    <w:rPr>
                      <w:rFonts w:ascii="Times New Roman" w:hAnsi="Times New Roman" w:cs="Times New Roman"/>
                      <w:b/>
                      <w:bCs/>
                      <w:lang w:val="vi-VN"/>
                    </w:rPr>
                  </w:pPr>
                  <w:r w:rsidRPr="001375C9">
                    <w:rPr>
                      <w:rFonts w:ascii="Times New Roman" w:hAnsi="Times New Roman" w:cs="Times New Roman"/>
                      <w:b/>
                      <w:bCs/>
                      <w:lang w:val="vi-VN"/>
                    </w:rPr>
                    <w:t>Giá gốc</w:t>
                  </w:r>
                </w:p>
              </w:tc>
              <w:tc>
                <w:tcPr>
                  <w:tcW w:w="2313" w:type="dxa"/>
                  <w:gridSpan w:val="2"/>
                </w:tcPr>
                <w:p w14:paraId="7E1F292F" w14:textId="77777777" w:rsidR="00994525" w:rsidRPr="001375C9" w:rsidRDefault="00994525" w:rsidP="00994525">
                  <w:pPr>
                    <w:spacing w:line="360" w:lineRule="auto"/>
                    <w:jc w:val="center"/>
                    <w:rPr>
                      <w:rFonts w:ascii="Times New Roman" w:hAnsi="Times New Roman" w:cs="Times New Roman"/>
                      <w:b/>
                      <w:bCs/>
                      <w:lang w:val="vi-VN"/>
                    </w:rPr>
                  </w:pPr>
                  <w:r w:rsidRPr="001375C9">
                    <w:rPr>
                      <w:rFonts w:ascii="Times New Roman" w:hAnsi="Times New Roman" w:cs="Times New Roman"/>
                      <w:b/>
                      <w:bCs/>
                      <w:lang w:val="vi-VN"/>
                    </w:rPr>
                    <w:t>Giá trị thuần có thể thực hiện được</w:t>
                  </w:r>
                </w:p>
              </w:tc>
            </w:tr>
            <w:tr w:rsidR="00994525" w:rsidRPr="001375C9" w14:paraId="0D593C38" w14:textId="77777777" w:rsidTr="005625BF">
              <w:trPr>
                <w:gridAfter w:val="1"/>
                <w:wAfter w:w="216" w:type="dxa"/>
                <w:jc w:val="center"/>
              </w:trPr>
              <w:tc>
                <w:tcPr>
                  <w:tcW w:w="1466" w:type="dxa"/>
                </w:tcPr>
                <w:p w14:paraId="06484D60" w14:textId="77777777" w:rsidR="00994525" w:rsidRPr="001375C9" w:rsidRDefault="00994525"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A</w:t>
                  </w:r>
                </w:p>
              </w:tc>
              <w:tc>
                <w:tcPr>
                  <w:tcW w:w="832" w:type="dxa"/>
                </w:tcPr>
                <w:p w14:paraId="1ECD192B" w14:textId="77777777" w:rsidR="00994525" w:rsidRPr="001375C9" w:rsidRDefault="00994525" w:rsidP="00994525">
                  <w:pPr>
                    <w:spacing w:line="360" w:lineRule="auto"/>
                    <w:jc w:val="center"/>
                    <w:rPr>
                      <w:rFonts w:ascii="Times New Roman" w:hAnsi="Times New Roman" w:cs="Times New Roman"/>
                      <w:lang w:val="vi-VN"/>
                    </w:rPr>
                  </w:pPr>
                  <w:r w:rsidRPr="001375C9">
                    <w:rPr>
                      <w:rFonts w:ascii="Times New Roman" w:hAnsi="Times New Roman" w:cs="Times New Roman"/>
                      <w:lang w:val="vi-VN"/>
                    </w:rPr>
                    <w:t>10</w:t>
                  </w:r>
                </w:p>
              </w:tc>
              <w:tc>
                <w:tcPr>
                  <w:tcW w:w="2097" w:type="dxa"/>
                </w:tcPr>
                <w:p w14:paraId="3D4B506D" w14:textId="77777777" w:rsidR="00994525" w:rsidRPr="001375C9" w:rsidRDefault="00994525" w:rsidP="00994525">
                  <w:pPr>
                    <w:spacing w:line="360" w:lineRule="auto"/>
                    <w:jc w:val="center"/>
                    <w:rPr>
                      <w:rFonts w:ascii="Times New Roman" w:hAnsi="Times New Roman" w:cs="Times New Roman"/>
                      <w:lang w:val="vi-VN"/>
                    </w:rPr>
                  </w:pPr>
                  <w:r w:rsidRPr="001375C9">
                    <w:rPr>
                      <w:rFonts w:ascii="Times New Roman" w:hAnsi="Times New Roman" w:cs="Times New Roman"/>
                      <w:lang w:val="vi-VN"/>
                    </w:rPr>
                    <w:t>12</w:t>
                  </w:r>
                </w:p>
              </w:tc>
            </w:tr>
            <w:tr w:rsidR="00994525" w:rsidRPr="001375C9" w14:paraId="77B2FC44" w14:textId="77777777" w:rsidTr="005625BF">
              <w:trPr>
                <w:gridAfter w:val="1"/>
                <w:wAfter w:w="216" w:type="dxa"/>
                <w:jc w:val="center"/>
              </w:trPr>
              <w:tc>
                <w:tcPr>
                  <w:tcW w:w="1466" w:type="dxa"/>
                </w:tcPr>
                <w:p w14:paraId="3367E2EC" w14:textId="77777777" w:rsidR="00994525" w:rsidRPr="001375C9" w:rsidRDefault="00994525"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B</w:t>
                  </w:r>
                </w:p>
              </w:tc>
              <w:tc>
                <w:tcPr>
                  <w:tcW w:w="832" w:type="dxa"/>
                </w:tcPr>
                <w:p w14:paraId="33794284" w14:textId="77777777" w:rsidR="00994525" w:rsidRPr="001375C9" w:rsidRDefault="00994525" w:rsidP="00994525">
                  <w:pPr>
                    <w:spacing w:line="360" w:lineRule="auto"/>
                    <w:jc w:val="center"/>
                    <w:rPr>
                      <w:rFonts w:ascii="Times New Roman" w:hAnsi="Times New Roman" w:cs="Times New Roman"/>
                      <w:lang w:val="vi-VN"/>
                    </w:rPr>
                  </w:pPr>
                  <w:r w:rsidRPr="001375C9">
                    <w:rPr>
                      <w:rFonts w:ascii="Times New Roman" w:hAnsi="Times New Roman" w:cs="Times New Roman"/>
                      <w:lang w:val="vi-VN"/>
                    </w:rPr>
                    <w:t>11</w:t>
                  </w:r>
                </w:p>
              </w:tc>
              <w:tc>
                <w:tcPr>
                  <w:tcW w:w="2097" w:type="dxa"/>
                </w:tcPr>
                <w:p w14:paraId="4DF98011" w14:textId="77777777" w:rsidR="00994525" w:rsidRPr="001375C9" w:rsidRDefault="00994525" w:rsidP="00994525">
                  <w:pPr>
                    <w:spacing w:line="360" w:lineRule="auto"/>
                    <w:jc w:val="center"/>
                    <w:rPr>
                      <w:rFonts w:ascii="Times New Roman" w:hAnsi="Times New Roman" w:cs="Times New Roman"/>
                      <w:lang w:val="vi-VN"/>
                    </w:rPr>
                  </w:pPr>
                  <w:r w:rsidRPr="001375C9">
                    <w:rPr>
                      <w:rFonts w:ascii="Times New Roman" w:hAnsi="Times New Roman" w:cs="Times New Roman"/>
                      <w:lang w:val="vi-VN"/>
                    </w:rPr>
                    <w:t>15</w:t>
                  </w:r>
                </w:p>
              </w:tc>
            </w:tr>
            <w:tr w:rsidR="00994525" w:rsidRPr="001375C9" w14:paraId="154DFA73" w14:textId="77777777" w:rsidTr="005625BF">
              <w:trPr>
                <w:gridAfter w:val="1"/>
                <w:wAfter w:w="216" w:type="dxa"/>
                <w:jc w:val="center"/>
              </w:trPr>
              <w:tc>
                <w:tcPr>
                  <w:tcW w:w="1466" w:type="dxa"/>
                </w:tcPr>
                <w:p w14:paraId="2884B2B8" w14:textId="77777777" w:rsidR="00994525" w:rsidRPr="001375C9" w:rsidRDefault="00994525"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C</w:t>
                  </w:r>
                </w:p>
              </w:tc>
              <w:tc>
                <w:tcPr>
                  <w:tcW w:w="832" w:type="dxa"/>
                </w:tcPr>
                <w:p w14:paraId="05C8F39F" w14:textId="77777777" w:rsidR="00994525" w:rsidRPr="001375C9" w:rsidRDefault="00994525" w:rsidP="00994525">
                  <w:pPr>
                    <w:spacing w:line="360" w:lineRule="auto"/>
                    <w:jc w:val="center"/>
                    <w:rPr>
                      <w:rFonts w:ascii="Times New Roman" w:hAnsi="Times New Roman" w:cs="Times New Roman"/>
                      <w:u w:val="single"/>
                      <w:lang w:val="vi-VN"/>
                    </w:rPr>
                  </w:pPr>
                  <w:r w:rsidRPr="001375C9">
                    <w:rPr>
                      <w:rFonts w:ascii="Times New Roman" w:hAnsi="Times New Roman" w:cs="Times New Roman"/>
                      <w:u w:val="single"/>
                      <w:lang w:val="vi-VN"/>
                    </w:rPr>
                    <w:t>12</w:t>
                  </w:r>
                </w:p>
              </w:tc>
              <w:tc>
                <w:tcPr>
                  <w:tcW w:w="2097" w:type="dxa"/>
                </w:tcPr>
                <w:p w14:paraId="0936C5C6" w14:textId="77777777" w:rsidR="00994525" w:rsidRPr="001375C9" w:rsidRDefault="00994525" w:rsidP="00994525">
                  <w:pPr>
                    <w:spacing w:line="360" w:lineRule="auto"/>
                    <w:jc w:val="center"/>
                    <w:rPr>
                      <w:rFonts w:ascii="Times New Roman" w:hAnsi="Times New Roman" w:cs="Times New Roman"/>
                      <w:u w:val="single"/>
                      <w:lang w:val="vi-VN"/>
                    </w:rPr>
                  </w:pPr>
                  <w:r w:rsidRPr="001375C9">
                    <w:rPr>
                      <w:rFonts w:ascii="Times New Roman" w:hAnsi="Times New Roman" w:cs="Times New Roman"/>
                      <w:u w:val="single"/>
                      <w:lang w:val="vi-VN"/>
                    </w:rPr>
                    <w:t xml:space="preserve">  9  </w:t>
                  </w:r>
                </w:p>
              </w:tc>
            </w:tr>
            <w:tr w:rsidR="00994525" w:rsidRPr="001375C9" w14:paraId="59E306EB" w14:textId="77777777" w:rsidTr="005625BF">
              <w:trPr>
                <w:gridAfter w:val="1"/>
                <w:wAfter w:w="216" w:type="dxa"/>
                <w:jc w:val="center"/>
              </w:trPr>
              <w:tc>
                <w:tcPr>
                  <w:tcW w:w="1466" w:type="dxa"/>
                </w:tcPr>
                <w:p w14:paraId="6B8DC61F" w14:textId="77777777" w:rsidR="00994525" w:rsidRPr="001375C9" w:rsidRDefault="00994525" w:rsidP="00994525">
                  <w:pPr>
                    <w:spacing w:line="360" w:lineRule="auto"/>
                    <w:jc w:val="both"/>
                    <w:rPr>
                      <w:rFonts w:ascii="Times New Roman" w:hAnsi="Times New Roman" w:cs="Times New Roman"/>
                      <w:b/>
                      <w:bCs/>
                      <w:lang w:val="vi-VN"/>
                    </w:rPr>
                  </w:pPr>
                  <w:r w:rsidRPr="001375C9">
                    <w:rPr>
                      <w:rFonts w:ascii="Times New Roman" w:hAnsi="Times New Roman" w:cs="Times New Roman"/>
                      <w:b/>
                      <w:bCs/>
                      <w:lang w:val="vi-VN"/>
                    </w:rPr>
                    <w:t xml:space="preserve">Tổng cộng </w:t>
                  </w:r>
                </w:p>
              </w:tc>
              <w:tc>
                <w:tcPr>
                  <w:tcW w:w="832" w:type="dxa"/>
                </w:tcPr>
                <w:p w14:paraId="38F683E1" w14:textId="77777777" w:rsidR="00994525" w:rsidRPr="001375C9" w:rsidRDefault="00994525" w:rsidP="00994525">
                  <w:pPr>
                    <w:spacing w:line="360" w:lineRule="auto"/>
                    <w:jc w:val="center"/>
                    <w:rPr>
                      <w:rFonts w:ascii="Times New Roman" w:hAnsi="Times New Roman" w:cs="Times New Roman"/>
                      <w:b/>
                      <w:bCs/>
                      <w:u w:val="double"/>
                      <w:lang w:val="vi-VN"/>
                    </w:rPr>
                  </w:pPr>
                  <w:r w:rsidRPr="001375C9">
                    <w:rPr>
                      <w:rFonts w:ascii="Times New Roman" w:hAnsi="Times New Roman" w:cs="Times New Roman"/>
                      <w:b/>
                      <w:bCs/>
                      <w:u w:val="double"/>
                      <w:lang w:val="vi-VN"/>
                    </w:rPr>
                    <w:t>33</w:t>
                  </w:r>
                </w:p>
              </w:tc>
              <w:tc>
                <w:tcPr>
                  <w:tcW w:w="2097" w:type="dxa"/>
                </w:tcPr>
                <w:p w14:paraId="642E28E0" w14:textId="77777777" w:rsidR="00994525" w:rsidRPr="001375C9" w:rsidRDefault="00994525" w:rsidP="00994525">
                  <w:pPr>
                    <w:spacing w:line="360" w:lineRule="auto"/>
                    <w:jc w:val="center"/>
                    <w:rPr>
                      <w:rFonts w:ascii="Times New Roman" w:hAnsi="Times New Roman" w:cs="Times New Roman"/>
                      <w:b/>
                      <w:bCs/>
                      <w:u w:val="double"/>
                      <w:lang w:val="vi-VN"/>
                    </w:rPr>
                  </w:pPr>
                  <w:r w:rsidRPr="001375C9">
                    <w:rPr>
                      <w:rFonts w:ascii="Times New Roman" w:hAnsi="Times New Roman" w:cs="Times New Roman"/>
                      <w:b/>
                      <w:bCs/>
                      <w:u w:val="double"/>
                      <w:lang w:val="vi-VN"/>
                    </w:rPr>
                    <w:t>36</w:t>
                  </w:r>
                </w:p>
              </w:tc>
            </w:tr>
          </w:tbl>
          <w:p w14:paraId="758D54A3" w14:textId="77777777" w:rsidR="00994525" w:rsidRPr="001375C9" w:rsidRDefault="00994525" w:rsidP="00994525">
            <w:pPr>
              <w:spacing w:line="360" w:lineRule="auto"/>
              <w:jc w:val="both"/>
              <w:rPr>
                <w:rFonts w:ascii="Times New Roman" w:hAnsi="Times New Roman" w:cs="Times New Roman"/>
                <w:lang w:val="vi-VN"/>
              </w:rPr>
            </w:pPr>
          </w:p>
          <w:p w14:paraId="744AD9F7" w14:textId="4C1541A5" w:rsidR="00994525" w:rsidRPr="001375C9" w:rsidRDefault="00994525" w:rsidP="00994525">
            <w:pPr>
              <w:spacing w:line="360" w:lineRule="auto"/>
              <w:jc w:val="both"/>
              <w:rPr>
                <w:rFonts w:ascii="Times New Roman" w:hAnsi="Times New Roman" w:cs="Times New Roman"/>
                <w:i/>
                <w:iCs/>
                <w:lang w:val="vi-VN"/>
              </w:rPr>
            </w:pPr>
            <w:r w:rsidRPr="001375C9">
              <w:rPr>
                <w:rFonts w:ascii="Times New Roman" w:hAnsi="Times New Roman" w:cs="Times New Roman"/>
                <w:i/>
                <w:iCs/>
                <w:lang w:val="vi-VN"/>
              </w:rPr>
              <w:t>Theo IAS 2, khoản mục hàng tồn kho trong Bảng cân đối kế toán nên báo cáo theo giá trị nào?</w:t>
            </w:r>
          </w:p>
        </w:tc>
        <w:tc>
          <w:tcPr>
            <w:tcW w:w="1224" w:type="dxa"/>
          </w:tcPr>
          <w:p w14:paraId="7698CD2B" w14:textId="77777777" w:rsidR="00994525" w:rsidRPr="001375C9" w:rsidRDefault="00994525" w:rsidP="00994525">
            <w:pPr>
              <w:spacing w:line="360" w:lineRule="auto"/>
              <w:jc w:val="both"/>
              <w:rPr>
                <w:rFonts w:ascii="Times New Roman" w:hAnsi="Times New Roman" w:cs="Times New Roman"/>
                <w:lang w:val="vi-VN"/>
              </w:rPr>
            </w:pPr>
          </w:p>
        </w:tc>
      </w:tr>
    </w:tbl>
    <w:p w14:paraId="5E17A984" w14:textId="77777777" w:rsidR="00442EF6" w:rsidRPr="001375C9" w:rsidRDefault="00B21AFD" w:rsidP="00994525">
      <w:pPr>
        <w:spacing w:before="240" w:line="360" w:lineRule="auto"/>
        <w:jc w:val="both"/>
        <w:rPr>
          <w:rFonts w:ascii="Times New Roman" w:hAnsi="Times New Roman" w:cs="Times New Roman"/>
          <w:lang w:val="vi-VN"/>
        </w:rPr>
      </w:pPr>
      <w:r w:rsidRPr="001375C9">
        <w:rPr>
          <w:rFonts w:ascii="Times New Roman" w:hAnsi="Times New Roman" w:cs="Times New Roman"/>
          <w:lang w:val="vi-VN"/>
        </w:rPr>
        <w:t xml:space="preserve">Để xác định được giá trị báo cáo của hàng tồn kho, sẽ </w:t>
      </w:r>
      <w:r w:rsidR="00442EF6" w:rsidRPr="001375C9">
        <w:rPr>
          <w:rFonts w:ascii="Times New Roman" w:hAnsi="Times New Roman" w:cs="Times New Roman"/>
          <w:lang w:val="vi-VN"/>
        </w:rPr>
        <w:t xml:space="preserve">có hai phương pháp là theo cơ sở tổng số hàng tồn kho và theo cơ sở từng khoản mục. Mỗi phương pháp sẽ cho ra kết quả khác nhau. </w:t>
      </w:r>
    </w:p>
    <w:p w14:paraId="26EC0A07" w14:textId="6B0C9E09" w:rsidR="00442EF6" w:rsidRPr="001375C9" w:rsidRDefault="00442EF6" w:rsidP="00994525">
      <w:pPr>
        <w:pStyle w:val="ListParagraph"/>
        <w:numPr>
          <w:ilvl w:val="0"/>
          <w:numId w:val="8"/>
        </w:num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Theo cơ sở tổng số hàng tồn kho (tức là, hàng tồn kho không được tách biệt thành từng loại, mà chỉ tính tổng), thì trị giá báo cáo hàng tồn kho của công ty này sẽ là giá thấp hơn giữa 33 (giá gốc) và 36 (giá trị thuần có thể thực hiện được). </w:t>
      </w:r>
    </w:p>
    <w:p w14:paraId="1CA7ED32" w14:textId="1F1B4865" w:rsidR="00442EF6" w:rsidRPr="001375C9" w:rsidRDefault="00442EF6" w:rsidP="00994525">
      <w:pPr>
        <w:pStyle w:val="ListParagraph"/>
        <w:numPr>
          <w:ilvl w:val="0"/>
          <w:numId w:val="8"/>
        </w:numPr>
        <w:spacing w:line="360" w:lineRule="auto"/>
        <w:jc w:val="both"/>
        <w:rPr>
          <w:rFonts w:ascii="Times New Roman" w:hAnsi="Times New Roman" w:cs="Times New Roman"/>
          <w:lang w:val="vi-VN"/>
        </w:rPr>
      </w:pPr>
      <w:r w:rsidRPr="001375C9">
        <w:rPr>
          <w:rFonts w:ascii="Times New Roman" w:hAnsi="Times New Roman" w:cs="Times New Roman"/>
          <w:lang w:val="vi-VN"/>
        </w:rPr>
        <w:lastRenderedPageBreak/>
        <w:t>Theo cơ sở từng khoản mục (tức là, từng loại hàng tồn kho phải được đánh giá riêng biệt), thì giá trị thấp hơn của sản phẩm A là 10, B là 11 và C là 9, nên trị giá báo cáo của hàng tồn kho phải là 30.</w:t>
      </w:r>
    </w:p>
    <w:p w14:paraId="29F71DBE" w14:textId="5CAA99E4" w:rsidR="00032E7A" w:rsidRPr="001375C9" w:rsidRDefault="00442EF6" w:rsidP="00994525">
      <w:pPr>
        <w:spacing w:line="360" w:lineRule="auto"/>
        <w:jc w:val="both"/>
        <w:rPr>
          <w:rFonts w:ascii="Times New Roman" w:hAnsi="Times New Roman" w:cs="Times New Roman"/>
          <w:lang w:val="vi-VN"/>
        </w:rPr>
      </w:pPr>
      <w:r w:rsidRPr="001375C9">
        <w:rPr>
          <w:rFonts w:ascii="Times New Roman" w:hAnsi="Times New Roman" w:cs="Times New Roman"/>
          <w:b/>
          <w:bCs/>
        </w:rPr>
        <w:t>IAS 2 yêu cầu phương pháp cơ sở từng khoản mục</w:t>
      </w:r>
      <w:r w:rsidRPr="001375C9">
        <w:rPr>
          <w:rFonts w:ascii="Times New Roman" w:hAnsi="Times New Roman" w:cs="Times New Roman"/>
        </w:rPr>
        <w:t>,</w:t>
      </w:r>
      <w:r w:rsidR="00032E7A" w:rsidRPr="001375C9">
        <w:rPr>
          <w:rFonts w:ascii="Times New Roman" w:hAnsi="Times New Roman" w:cs="Times New Roman"/>
          <w:lang w:val="vi-VN"/>
        </w:rPr>
        <w:t xml:space="preserve"> vì vậy giá trị báo cáo của hàng tồn kho trong trường hợp này là 30. Việc áp dụng phương pháp nào</w:t>
      </w:r>
      <w:r w:rsidRPr="001375C9">
        <w:rPr>
          <w:rFonts w:ascii="Times New Roman" w:hAnsi="Times New Roman" w:cs="Times New Roman"/>
        </w:rPr>
        <w:t xml:space="preserve"> rất quan trọng vì nó sẽ ảnh hưởng đến lợi nhuận ròng của công ty (giá trị này sẽ trở thành giá vốn hàng bán khi</w:t>
      </w:r>
      <w:r w:rsidR="00032E7A" w:rsidRPr="001375C9">
        <w:rPr>
          <w:rFonts w:ascii="Times New Roman" w:hAnsi="Times New Roman" w:cs="Times New Roman"/>
          <w:lang w:val="vi-VN"/>
        </w:rPr>
        <w:t xml:space="preserve"> bán được hàng</w:t>
      </w:r>
      <w:r w:rsidRPr="001375C9">
        <w:rPr>
          <w:rFonts w:ascii="Times New Roman" w:hAnsi="Times New Roman" w:cs="Times New Roman"/>
        </w:rPr>
        <w:t>)</w:t>
      </w:r>
      <w:r w:rsidR="00032E7A" w:rsidRPr="001375C9">
        <w:rPr>
          <w:rFonts w:ascii="Times New Roman" w:hAnsi="Times New Roman" w:cs="Times New Roman"/>
          <w:lang w:val="vi-VN"/>
        </w:rPr>
        <w:t>.</w:t>
      </w:r>
    </w:p>
    <w:p w14:paraId="55563535" w14:textId="700FD0F6" w:rsidR="007F4047" w:rsidRPr="001375C9" w:rsidRDefault="00032E7A" w:rsidP="00994525">
      <w:pPr>
        <w:spacing w:before="240" w:line="360" w:lineRule="auto"/>
        <w:jc w:val="both"/>
        <w:rPr>
          <w:rFonts w:ascii="Times New Roman" w:hAnsi="Times New Roman" w:cs="Times New Roman"/>
          <w:b/>
          <w:bCs/>
          <w:i/>
          <w:iCs/>
          <w:lang w:val="vi-VN"/>
        </w:rPr>
      </w:pPr>
      <w:r w:rsidRPr="001375C9">
        <w:rPr>
          <w:rFonts w:ascii="Times New Roman" w:hAnsi="Times New Roman" w:cs="Times New Roman"/>
          <w:b/>
          <w:bCs/>
          <w:i/>
          <w:iCs/>
          <w:lang w:val="vi-VN"/>
        </w:rPr>
        <w:t>Ghi giảm giá trị hàng tồn kho (Inventory Write-down)</w:t>
      </w:r>
    </w:p>
    <w:p w14:paraId="5277FD1A" w14:textId="0D28A618" w:rsidR="00032E7A" w:rsidRPr="001375C9" w:rsidRDefault="00032E7A"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Khi đã xác định được giá trị thuần có thể thực hiện được giảm xuống thấp hơn giá gốc, việc ghi giảm giá trị hàng tồn kho cần phải được thực hiện</w:t>
      </w:r>
      <w:r w:rsidR="00EB631B" w:rsidRPr="001375C9">
        <w:rPr>
          <w:rFonts w:ascii="Times New Roman" w:hAnsi="Times New Roman" w:cs="Times New Roman"/>
          <w:lang w:val="vi-VN"/>
        </w:rPr>
        <w:t>. Một vài điểm cần chú ý như sau:</w:t>
      </w:r>
    </w:p>
    <w:p w14:paraId="05B72AF5" w14:textId="692884B5" w:rsidR="00032E7A" w:rsidRPr="001375C9" w:rsidRDefault="00032E7A" w:rsidP="00994525">
      <w:pPr>
        <w:pStyle w:val="ListParagraph"/>
        <w:numPr>
          <w:ilvl w:val="0"/>
          <w:numId w:val="9"/>
        </w:numPr>
        <w:spacing w:line="360" w:lineRule="auto"/>
        <w:jc w:val="both"/>
        <w:rPr>
          <w:rFonts w:ascii="Times New Roman" w:hAnsi="Times New Roman" w:cs="Times New Roman"/>
          <w:lang w:val="vi-VN"/>
        </w:rPr>
      </w:pPr>
      <w:r w:rsidRPr="001375C9">
        <w:rPr>
          <w:rFonts w:ascii="Times New Roman" w:hAnsi="Times New Roman" w:cs="Times New Roman"/>
          <w:lang w:val="vi-VN"/>
        </w:rPr>
        <w:t>Nguyên vật liệu thô không bị giảm xuống dưới giá gốc trừ khi giá gốc của thành phẩm tăng lên hơn giá trị thuần có thể thực hiện được.</w:t>
      </w:r>
    </w:p>
    <w:p w14:paraId="29D0658E" w14:textId="02323218" w:rsidR="00032E7A" w:rsidRPr="001375C9" w:rsidRDefault="00032E7A" w:rsidP="00994525">
      <w:pPr>
        <w:pStyle w:val="ListParagraph"/>
        <w:numPr>
          <w:ilvl w:val="0"/>
          <w:numId w:val="9"/>
        </w:numPr>
        <w:spacing w:line="360" w:lineRule="auto"/>
        <w:jc w:val="both"/>
        <w:rPr>
          <w:rFonts w:ascii="Times New Roman" w:hAnsi="Times New Roman" w:cs="Times New Roman"/>
          <w:lang w:val="vi-VN"/>
        </w:rPr>
      </w:pPr>
      <w:r w:rsidRPr="001375C9">
        <w:rPr>
          <w:rFonts w:ascii="Times New Roman" w:hAnsi="Times New Roman" w:cs="Times New Roman"/>
          <w:lang w:val="vi-VN"/>
        </w:rPr>
        <w:t>Các khoản ghi giảm theo giá trị thuần có thể thực hiện được phải được ghi nhận vào kỳ mà việc giảm giá trị xảy ra.</w:t>
      </w:r>
    </w:p>
    <w:p w14:paraId="14ABA16B" w14:textId="7193F860" w:rsidR="00B21AFD" w:rsidRPr="001375C9" w:rsidRDefault="00EB631B"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Trong một vài trường hợp cụ thể, có thể xảy ra việc hoàn lại khoản giảm giá trị (Rehersal of write-down). Ví dụ, khoản lỗ ước tính ghi giảm ban đầu lớn hơn giá trị thuần có thể thực hiện được của hàng tồn kho, tức là, sau khi đã điều chỉnh giá phí theo giá trị thuần có thể thực hiện được nhưng một thời gian sau giá trị này lại tăng trở lại, thì một khoản hoàn lại sẽ được ghi nhận. Hoặc, giá trị thị trường của hàng tồn kho tăng trở lại. Việc đánh giá được thực hiện trong mỗi kỳ báo cáo và, nếu có bằng chứng rõ ràng về sự chênh lệch giá trị, thì việc hoàn lại hàng tồn kho sẽ được thực hiện. Tuy nhiên, việc hoàn lại những khoản giảm giá trị này thường hiếm xảy ra khi mà nguyên nhân gây ra sự giảm giá trị không còn tồn tại.</w:t>
      </w:r>
    </w:p>
    <w:p w14:paraId="54AC5CF5" w14:textId="55D12129" w:rsidR="00A04AF6" w:rsidRPr="001375C9" w:rsidRDefault="007239F6"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Chuẩn mực VAS 2 cũng yêu cầu tương tự về việc đánh giá hàng tồn kho: “</w:t>
      </w:r>
      <w:r w:rsidRPr="001375C9">
        <w:rPr>
          <w:rFonts w:ascii="Times New Roman" w:hAnsi="Times New Roman" w:cs="Times New Roman"/>
          <w:i/>
          <w:iCs/>
          <w:lang w:val="vi-VN"/>
        </w:rPr>
        <w:t>Hàng tồn kho được tính theo giá gốc. Trường hợp giá trị thuần có thể thực hiện được thấp hơn giá gốc thì phải tính theo giá trị thuần có thể thực hiện được</w:t>
      </w:r>
      <w:r w:rsidRPr="001375C9">
        <w:rPr>
          <w:rFonts w:ascii="Times New Roman" w:hAnsi="Times New Roman" w:cs="Times New Roman"/>
          <w:lang w:val="vi-VN"/>
        </w:rPr>
        <w:t>”.</w:t>
      </w:r>
      <w:r w:rsidR="00A04AF6" w:rsidRPr="001375C9">
        <w:rPr>
          <w:rFonts w:ascii="Times New Roman" w:hAnsi="Times New Roman" w:cs="Times New Roman"/>
          <w:lang w:val="vi-VN"/>
        </w:rPr>
        <w:t>Trong VAS 2, việc ghi giảm giá trị hàng tồn kho theo giá trị thuần có thể thực hiện được, nếu giá trị này thấp hơn giá gốc, được gọi là lập dự phòng giảm giá hàng tồn kho. Đoạn 19 của Chuẩn mực VAS 2 ghi rõ:</w:t>
      </w:r>
    </w:p>
    <w:p w14:paraId="0F86D479" w14:textId="73B6C072" w:rsidR="00A04AF6" w:rsidRPr="001375C9" w:rsidRDefault="00A04AF6" w:rsidP="00A04AF6">
      <w:pPr>
        <w:spacing w:line="360" w:lineRule="auto"/>
        <w:ind w:left="720"/>
        <w:jc w:val="both"/>
        <w:rPr>
          <w:rFonts w:ascii="Times New Roman" w:hAnsi="Times New Roman" w:cs="Times New Roman"/>
          <w:i/>
          <w:iCs/>
          <w:lang w:val="vi-VN"/>
        </w:rPr>
      </w:pPr>
      <w:r w:rsidRPr="001375C9">
        <w:rPr>
          <w:rFonts w:ascii="Times New Roman" w:hAnsi="Times New Roman" w:cs="Times New Roman"/>
          <w:i/>
          <w:iCs/>
          <w:lang w:val="vi-VN"/>
        </w:rPr>
        <w:t>“Cuối kỳ kế toán năm, khi giá trị thuần có thể thực hiện được của hàng tồn kho nhỏ hơn giá gốc thì phải lập dự phòng giảm giá hàng tồn kho. Số dự phòng giảm giá hàng tồn kho được lập là số chênh lệch giữa giá gốc của hàng tồn kho lớn hơn giá trị thuần có thể thực hiện được của chúng. Việc lập dự phòng giảm giá hàng tồn kho được thực hiện trên cơ sở từng mặt hàng tồn kho.”</w:t>
      </w:r>
    </w:p>
    <w:p w14:paraId="4501D312" w14:textId="24A13619" w:rsidR="00A04AF6" w:rsidRPr="001375C9" w:rsidRDefault="00A04AF6" w:rsidP="00A04AF6">
      <w:pPr>
        <w:spacing w:line="360" w:lineRule="auto"/>
        <w:jc w:val="both"/>
        <w:rPr>
          <w:rFonts w:ascii="Times New Roman" w:hAnsi="Times New Roman" w:cs="Times New Roman"/>
          <w:lang w:val="vi-VN"/>
        </w:rPr>
      </w:pPr>
      <w:r w:rsidRPr="001375C9">
        <w:rPr>
          <w:rFonts w:ascii="Times New Roman" w:hAnsi="Times New Roman" w:cs="Times New Roman"/>
          <w:lang w:val="vi-VN"/>
        </w:rPr>
        <w:t>Giống với IAS 2, VAS 2 yêu cầu kế toán phải xem xét và đánh giá hàng tồn kho vào cuối kỳ kế toán năm để thực hiện việc lập dự phòng nếu cần. Hơn nữa, VAS 2 cũng yêu cầu việc lập dự phòng phải được thực hiện theo phương pháp cơ sở từng khoản mục (hay còn gọi là cơ sở từng mặt hàng tồn kho).</w:t>
      </w:r>
    </w:p>
    <w:p w14:paraId="5A420699" w14:textId="57A51307" w:rsidR="00EB631B" w:rsidRPr="001375C9" w:rsidRDefault="00994525" w:rsidP="00994525">
      <w:pPr>
        <w:spacing w:before="240" w:line="360" w:lineRule="auto"/>
        <w:jc w:val="both"/>
        <w:rPr>
          <w:rFonts w:ascii="Times New Roman" w:hAnsi="Times New Roman" w:cs="Times New Roman"/>
          <w:b/>
          <w:bCs/>
          <w:lang w:val="vi-VN"/>
        </w:rPr>
      </w:pPr>
      <w:r w:rsidRPr="001375C9">
        <w:rPr>
          <w:rFonts w:ascii="Times New Roman" w:hAnsi="Times New Roman" w:cs="Times New Roman"/>
          <w:b/>
          <w:bCs/>
          <w:lang w:val="vi-VN"/>
        </w:rPr>
        <w:lastRenderedPageBreak/>
        <w:t>(2) Xác định giá phí của những hàng hoá được bán (giá vốn hàng bán)</w:t>
      </w:r>
    </w:p>
    <w:p w14:paraId="7B7AAD70" w14:textId="1C3DF1EB" w:rsidR="001852DB" w:rsidRPr="001375C9" w:rsidRDefault="00740C4D"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Về vấn đề thứ hai (2), </w:t>
      </w:r>
      <w:r w:rsidR="00EB631B" w:rsidRPr="001375C9">
        <w:rPr>
          <w:rFonts w:ascii="Times New Roman" w:hAnsi="Times New Roman" w:cs="Times New Roman"/>
          <w:lang w:val="vi-VN"/>
        </w:rPr>
        <w:t>xác định giá phí của những hàng hoá được bán (giá vốn hàng bán).</w:t>
      </w:r>
      <w:r w:rsidR="00994525" w:rsidRPr="001375C9">
        <w:rPr>
          <w:rFonts w:ascii="Times New Roman" w:hAnsi="Times New Roman" w:cs="Times New Roman"/>
          <w:lang w:val="vi-VN"/>
        </w:rPr>
        <w:t xml:space="preserve"> Nếu không giới hạn vào một chuẩn mực nào cụ thể,</w:t>
      </w:r>
      <w:r w:rsidR="00EB631B" w:rsidRPr="001375C9">
        <w:rPr>
          <w:rFonts w:ascii="Times New Roman" w:hAnsi="Times New Roman" w:cs="Times New Roman"/>
          <w:lang w:val="vi-VN"/>
        </w:rPr>
        <w:t xml:space="preserve"> </w:t>
      </w:r>
      <w:r w:rsidR="00994525" w:rsidRPr="001375C9">
        <w:rPr>
          <w:rFonts w:ascii="Times New Roman" w:hAnsi="Times New Roman" w:cs="Times New Roman"/>
          <w:lang w:val="vi-VN"/>
        </w:rPr>
        <w:t>c</w:t>
      </w:r>
      <w:r w:rsidR="00EB631B" w:rsidRPr="001375C9">
        <w:rPr>
          <w:rFonts w:ascii="Times New Roman" w:hAnsi="Times New Roman" w:cs="Times New Roman"/>
          <w:lang w:val="vi-VN"/>
        </w:rPr>
        <w:t>ó tất cả 5 phương pháp có thể áp dụng:</w:t>
      </w:r>
      <w:r w:rsidR="00EB631B" w:rsidRPr="001375C9">
        <w:rPr>
          <w:rFonts w:ascii="Times New Roman" w:hAnsi="Times New Roman" w:cs="Times New Roman"/>
        </w:rPr>
        <w:t xml:space="preserve"> </w:t>
      </w:r>
      <w:r w:rsidR="00EB631B" w:rsidRPr="001375C9">
        <w:rPr>
          <w:rFonts w:ascii="Times New Roman" w:hAnsi="Times New Roman" w:cs="Times New Roman"/>
          <w:lang w:val="vi-VN"/>
        </w:rPr>
        <w:t xml:space="preserve">đích danh (unit cost), nhập trước-xuất trước (FIFO), nhập sau-xuất trước (LIFO), bình quân gia quyền (weighted average) và phương pháp theo mức </w:t>
      </w:r>
      <w:r w:rsidR="001852DB" w:rsidRPr="001375C9">
        <w:rPr>
          <w:rFonts w:ascii="Times New Roman" w:hAnsi="Times New Roman" w:cs="Times New Roman"/>
          <w:lang w:val="vi-VN"/>
        </w:rPr>
        <w:t xml:space="preserve">HTK </w:t>
      </w:r>
      <w:r w:rsidR="00EB631B" w:rsidRPr="001375C9">
        <w:rPr>
          <w:rFonts w:ascii="Times New Roman" w:hAnsi="Times New Roman" w:cs="Times New Roman"/>
          <w:lang w:val="vi-VN"/>
        </w:rPr>
        <w:t>cơ sở</w:t>
      </w:r>
      <w:r w:rsidR="00994525" w:rsidRPr="001375C9">
        <w:rPr>
          <w:rFonts w:ascii="Times New Roman" w:hAnsi="Times New Roman" w:cs="Times New Roman"/>
          <w:lang w:val="vi-VN"/>
        </w:rPr>
        <w:t xml:space="preserve"> (base inventory)</w:t>
      </w:r>
      <w:r w:rsidR="00EB631B" w:rsidRPr="001375C9">
        <w:rPr>
          <w:rFonts w:ascii="Times New Roman" w:hAnsi="Times New Roman" w:cs="Times New Roman"/>
          <w:lang w:val="vi-VN"/>
        </w:rPr>
        <w:t>.</w:t>
      </w:r>
      <w:r w:rsidR="00994525" w:rsidRPr="001375C9">
        <w:rPr>
          <w:rFonts w:ascii="Times New Roman" w:hAnsi="Times New Roman" w:cs="Times New Roman"/>
          <w:lang w:val="vi-VN"/>
        </w:rPr>
        <w:t xml:space="preserve"> Đôi nét về từng phương pháp sẽ được giới thiệu ngay sau đây. </w:t>
      </w:r>
    </w:p>
    <w:p w14:paraId="03A0509F" w14:textId="36970F68" w:rsidR="00195462" w:rsidRPr="001375C9" w:rsidRDefault="00195462" w:rsidP="00994525">
      <w:pPr>
        <w:spacing w:before="240" w:line="360" w:lineRule="auto"/>
        <w:jc w:val="both"/>
        <w:rPr>
          <w:rFonts w:ascii="Times New Roman" w:hAnsi="Times New Roman" w:cs="Times New Roman"/>
          <w:b/>
          <w:bCs/>
          <w:i/>
          <w:iCs/>
          <w:lang w:val="vi-VN"/>
        </w:rPr>
      </w:pPr>
      <w:r w:rsidRPr="001375C9">
        <w:rPr>
          <w:rFonts w:ascii="Times New Roman" w:hAnsi="Times New Roman" w:cs="Times New Roman"/>
          <w:b/>
          <w:bCs/>
          <w:i/>
          <w:iCs/>
        </w:rPr>
        <w:t>Phương</w:t>
      </w:r>
      <w:r w:rsidRPr="001375C9">
        <w:rPr>
          <w:rFonts w:ascii="Times New Roman" w:hAnsi="Times New Roman" w:cs="Times New Roman"/>
          <w:b/>
          <w:bCs/>
          <w:i/>
          <w:iCs/>
          <w:lang w:val="vi-VN"/>
        </w:rPr>
        <w:t xml:space="preserve"> pháp đích danh </w:t>
      </w:r>
    </w:p>
    <w:p w14:paraId="0BA298B8" w14:textId="62E9789E" w:rsidR="00195462" w:rsidRPr="001375C9" w:rsidRDefault="00195462"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Phương pháp đích danh giả định rằng</w:t>
      </w:r>
      <w:r w:rsidR="00507871" w:rsidRPr="001375C9">
        <w:rPr>
          <w:rFonts w:ascii="Times New Roman" w:hAnsi="Times New Roman" w:cs="Times New Roman"/>
          <w:lang w:val="vi-VN"/>
        </w:rPr>
        <w:t xml:space="preserve"> kế toán</w:t>
      </w:r>
      <w:r w:rsidRPr="001375C9">
        <w:rPr>
          <w:rFonts w:ascii="Times New Roman" w:hAnsi="Times New Roman" w:cs="Times New Roman"/>
          <w:lang w:val="vi-VN"/>
        </w:rPr>
        <w:t xml:space="preserve"> có thể nắm được từng đơn vị hàng hoá thực tế nhập kho hoặc xuất kho. Mỗi đơn vị hàng hoá có thể được phân biệt một cách độc lập (VD: phân biệt qua số se-ri). Khi đó, giá vốn hàng bán của mỗi đơn vị hàng hoá có thể dễ dàng xác định. Phương pháp này mặc dù </w:t>
      </w:r>
      <w:r w:rsidR="00507871" w:rsidRPr="001375C9">
        <w:rPr>
          <w:rFonts w:ascii="Times New Roman" w:hAnsi="Times New Roman" w:cs="Times New Roman"/>
          <w:lang w:val="vi-VN"/>
        </w:rPr>
        <w:t xml:space="preserve">có thể cung cấp những thông tin phù hợp nhất, cụ thể là </w:t>
      </w:r>
      <w:r w:rsidRPr="001375C9">
        <w:rPr>
          <w:rFonts w:ascii="Times New Roman" w:hAnsi="Times New Roman" w:cs="Times New Roman"/>
          <w:lang w:val="vi-VN"/>
        </w:rPr>
        <w:t xml:space="preserve">cho ra kết quả giá vốn hàng bán </w:t>
      </w:r>
      <w:r w:rsidR="00507871" w:rsidRPr="001375C9">
        <w:rPr>
          <w:rFonts w:ascii="Times New Roman" w:hAnsi="Times New Roman" w:cs="Times New Roman"/>
          <w:lang w:val="vi-VN"/>
        </w:rPr>
        <w:t xml:space="preserve">tương đối </w:t>
      </w:r>
      <w:r w:rsidRPr="001375C9">
        <w:rPr>
          <w:rFonts w:ascii="Times New Roman" w:hAnsi="Times New Roman" w:cs="Times New Roman"/>
          <w:lang w:val="vi-VN"/>
        </w:rPr>
        <w:t xml:space="preserve">chính xác với giá trị thực tế xuất kho, nhưng </w:t>
      </w:r>
      <w:r w:rsidR="00507871" w:rsidRPr="001375C9">
        <w:rPr>
          <w:rFonts w:ascii="Times New Roman" w:hAnsi="Times New Roman" w:cs="Times New Roman"/>
          <w:lang w:val="vi-VN"/>
        </w:rPr>
        <w:t xml:space="preserve">yêu cầu quản lý thông tin nhập xuất phải được cung cấp một cách chính xác. Vì vậy, phương pháp đích danh được cho là </w:t>
      </w:r>
      <w:r w:rsidRPr="001375C9">
        <w:rPr>
          <w:rFonts w:ascii="Times New Roman" w:hAnsi="Times New Roman" w:cs="Times New Roman"/>
          <w:lang w:val="vi-VN"/>
        </w:rPr>
        <w:t xml:space="preserve">không </w:t>
      </w:r>
      <w:r w:rsidR="00507871" w:rsidRPr="001375C9">
        <w:rPr>
          <w:rFonts w:ascii="Times New Roman" w:hAnsi="Times New Roman" w:cs="Times New Roman"/>
          <w:lang w:val="vi-VN"/>
        </w:rPr>
        <w:t xml:space="preserve">thực tiễn </w:t>
      </w:r>
      <w:r w:rsidRPr="001375C9">
        <w:rPr>
          <w:rFonts w:ascii="Times New Roman" w:hAnsi="Times New Roman" w:cs="Times New Roman"/>
          <w:lang w:val="vi-VN"/>
        </w:rPr>
        <w:t xml:space="preserve">với các doanh nghiệp </w:t>
      </w:r>
      <w:r w:rsidR="00F07E40" w:rsidRPr="001375C9">
        <w:rPr>
          <w:rFonts w:ascii="Times New Roman" w:hAnsi="Times New Roman" w:cs="Times New Roman"/>
          <w:lang w:val="vi-VN"/>
        </w:rPr>
        <w:t xml:space="preserve">có nhiều </w:t>
      </w:r>
      <w:r w:rsidR="00507871" w:rsidRPr="001375C9">
        <w:rPr>
          <w:rFonts w:ascii="Times New Roman" w:hAnsi="Times New Roman" w:cs="Times New Roman"/>
          <w:lang w:val="vi-VN"/>
        </w:rPr>
        <w:t xml:space="preserve">mặt </w:t>
      </w:r>
      <w:r w:rsidR="00F07E40" w:rsidRPr="001375C9">
        <w:rPr>
          <w:rFonts w:ascii="Times New Roman" w:hAnsi="Times New Roman" w:cs="Times New Roman"/>
          <w:lang w:val="vi-VN"/>
        </w:rPr>
        <w:t>hàng tồn</w:t>
      </w:r>
      <w:r w:rsidR="00507871" w:rsidRPr="001375C9">
        <w:rPr>
          <w:rFonts w:ascii="Times New Roman" w:hAnsi="Times New Roman" w:cs="Times New Roman"/>
          <w:lang w:val="vi-VN"/>
        </w:rPr>
        <w:t xml:space="preserve"> kho và mỗi mặt hàng giống nhau mua ở các mức giá khác nhau</w:t>
      </w:r>
      <w:r w:rsidR="00F07E40" w:rsidRPr="001375C9">
        <w:rPr>
          <w:rFonts w:ascii="Times New Roman" w:hAnsi="Times New Roman" w:cs="Times New Roman"/>
          <w:lang w:val="vi-VN"/>
        </w:rPr>
        <w:t>.</w:t>
      </w:r>
    </w:p>
    <w:p w14:paraId="31C541C8" w14:textId="269FEF56" w:rsidR="00507871" w:rsidRPr="001375C9" w:rsidRDefault="00507871" w:rsidP="00994525">
      <w:pPr>
        <w:spacing w:before="240" w:line="360" w:lineRule="auto"/>
        <w:jc w:val="both"/>
        <w:rPr>
          <w:rFonts w:ascii="Times New Roman" w:hAnsi="Times New Roman" w:cs="Times New Roman"/>
          <w:b/>
          <w:bCs/>
          <w:i/>
          <w:iCs/>
          <w:lang w:val="vi-VN"/>
        </w:rPr>
      </w:pPr>
      <w:r w:rsidRPr="001375C9">
        <w:rPr>
          <w:rFonts w:ascii="Times New Roman" w:hAnsi="Times New Roman" w:cs="Times New Roman"/>
          <w:b/>
          <w:bCs/>
          <w:i/>
          <w:iCs/>
          <w:lang w:val="vi-VN"/>
        </w:rPr>
        <w:t>Phương pháp nhập trước xuất trước (FIFO)</w:t>
      </w:r>
    </w:p>
    <w:p w14:paraId="60AD6C7D" w14:textId="5A9EB6D4" w:rsidR="00507871" w:rsidRPr="001375C9" w:rsidRDefault="00507871" w:rsidP="00994525">
      <w:pPr>
        <w:spacing w:line="360" w:lineRule="auto"/>
        <w:jc w:val="both"/>
        <w:rPr>
          <w:rFonts w:ascii="Times New Roman" w:hAnsi="Times New Roman" w:cs="Times New Roman"/>
        </w:rPr>
      </w:pPr>
      <w:r w:rsidRPr="001375C9">
        <w:rPr>
          <w:rFonts w:ascii="Times New Roman" w:hAnsi="Times New Roman" w:cs="Times New Roman"/>
          <w:lang w:val="vi-VN"/>
        </w:rPr>
        <w:t>Phương pháp nhập trước xuất trước dựa trên giả định hàng hoá nhập vào trước sẽ xuất ra trước.</w:t>
      </w:r>
      <w:r w:rsidR="00107B05" w:rsidRPr="001375C9">
        <w:rPr>
          <w:rFonts w:ascii="Times New Roman" w:hAnsi="Times New Roman" w:cs="Times New Roman"/>
          <w:lang w:val="vi-VN"/>
        </w:rPr>
        <w:t xml:space="preserve"> Hàng</w:t>
      </w:r>
      <w:r w:rsidR="00107B05" w:rsidRPr="001375C9">
        <w:rPr>
          <w:rFonts w:ascii="Times New Roman" w:hAnsi="Times New Roman" w:cs="Times New Roman"/>
        </w:rPr>
        <w:t xml:space="preserve"> </w:t>
      </w:r>
      <w:r w:rsidR="00107B05" w:rsidRPr="001375C9">
        <w:rPr>
          <w:rFonts w:ascii="Times New Roman" w:hAnsi="Times New Roman" w:cs="Times New Roman"/>
          <w:lang w:val="vi-VN"/>
        </w:rPr>
        <w:t>tồn kho cuối kỳ là các lô hàng nhập kho sau cùng. Cùng xem xét minh hoạ sau đây:</w:t>
      </w:r>
    </w:p>
    <w:p w14:paraId="5F1D4435" w14:textId="132D31AA" w:rsidR="00107B05" w:rsidRPr="001375C9" w:rsidRDefault="00107B05" w:rsidP="00994525">
      <w:pPr>
        <w:spacing w:line="360" w:lineRule="auto"/>
        <w:ind w:left="720"/>
        <w:jc w:val="both"/>
        <w:rPr>
          <w:rFonts w:ascii="Times New Roman" w:hAnsi="Times New Roman" w:cs="Times New Roman"/>
          <w:b/>
          <w:bCs/>
          <w:lang w:val="vi-VN"/>
        </w:rPr>
      </w:pPr>
      <w:r w:rsidRPr="001375C9">
        <w:rPr>
          <w:rFonts w:ascii="Times New Roman" w:hAnsi="Times New Roman" w:cs="Times New Roman"/>
          <w:b/>
          <w:bCs/>
        </w:rPr>
        <w:t>MINH HOẠ</w:t>
      </w:r>
      <w:r w:rsidR="00994525" w:rsidRPr="001375C9">
        <w:rPr>
          <w:rFonts w:ascii="Times New Roman" w:hAnsi="Times New Roman" w:cs="Times New Roman"/>
          <w:b/>
          <w:bCs/>
          <w:lang w:val="vi-VN"/>
        </w:rPr>
        <w:t xml:space="preserv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096"/>
        <w:gridCol w:w="1224"/>
      </w:tblGrid>
      <w:tr w:rsidR="00994525" w:rsidRPr="001375C9" w14:paraId="37F7C488" w14:textId="77777777" w:rsidTr="00994525">
        <w:tc>
          <w:tcPr>
            <w:tcW w:w="1696" w:type="dxa"/>
          </w:tcPr>
          <w:p w14:paraId="19766165" w14:textId="77777777" w:rsidR="00994525" w:rsidRPr="001375C9" w:rsidRDefault="00994525" w:rsidP="007B25E5">
            <w:pPr>
              <w:spacing w:line="360" w:lineRule="auto"/>
              <w:jc w:val="both"/>
              <w:rPr>
                <w:rFonts w:ascii="Times New Roman" w:hAnsi="Times New Roman" w:cs="Times New Roman"/>
                <w:lang w:val="vi-VN"/>
              </w:rPr>
            </w:pPr>
          </w:p>
        </w:tc>
        <w:tc>
          <w:tcPr>
            <w:tcW w:w="6096" w:type="dxa"/>
          </w:tcPr>
          <w:p w14:paraId="741775D8" w14:textId="77777777" w:rsidR="00994525" w:rsidRPr="001375C9" w:rsidRDefault="00994525" w:rsidP="00994525">
            <w:pPr>
              <w:spacing w:line="360" w:lineRule="auto"/>
              <w:jc w:val="both"/>
              <w:rPr>
                <w:rFonts w:ascii="Times New Roman" w:hAnsi="Times New Roman" w:cs="Times New Roman"/>
              </w:rPr>
            </w:pPr>
            <w:r w:rsidRPr="001375C9">
              <w:rPr>
                <w:rFonts w:ascii="Times New Roman" w:hAnsi="Times New Roman" w:cs="Times New Roman"/>
              </w:rPr>
              <w:t>Tính giá vốn hàng bán theo phương pháp FIFO</w:t>
            </w:r>
          </w:p>
          <w:p w14:paraId="4310D987" w14:textId="77777777" w:rsidR="00107B05" w:rsidRPr="001375C9" w:rsidRDefault="00107B05" w:rsidP="00994525">
            <w:pPr>
              <w:numPr>
                <w:ilvl w:val="1"/>
                <w:numId w:val="11"/>
              </w:numPr>
              <w:spacing w:line="360" w:lineRule="auto"/>
              <w:jc w:val="both"/>
              <w:rPr>
                <w:rFonts w:ascii="Times New Roman" w:hAnsi="Times New Roman" w:cs="Times New Roman"/>
              </w:rPr>
            </w:pPr>
            <w:r w:rsidRPr="001375C9">
              <w:rPr>
                <w:rFonts w:ascii="Times New Roman" w:hAnsi="Times New Roman" w:cs="Times New Roman"/>
              </w:rPr>
              <w:t>Tháng 1 mua 10 đơn vị @ £25</w:t>
            </w:r>
          </w:p>
          <w:p w14:paraId="7875E5D5" w14:textId="77777777" w:rsidR="00107B05" w:rsidRPr="001375C9" w:rsidRDefault="00107B05" w:rsidP="00994525">
            <w:pPr>
              <w:numPr>
                <w:ilvl w:val="1"/>
                <w:numId w:val="11"/>
              </w:numPr>
              <w:spacing w:line="360" w:lineRule="auto"/>
              <w:jc w:val="both"/>
              <w:rPr>
                <w:rFonts w:ascii="Times New Roman" w:hAnsi="Times New Roman" w:cs="Times New Roman"/>
              </w:rPr>
            </w:pPr>
            <w:r w:rsidRPr="001375C9">
              <w:rPr>
                <w:rFonts w:ascii="Times New Roman" w:hAnsi="Times New Roman" w:cs="Times New Roman"/>
              </w:rPr>
              <w:t>Tháng 2 mua 15 đơn vị @ £30</w:t>
            </w:r>
          </w:p>
          <w:p w14:paraId="5DFF1BC1" w14:textId="77777777" w:rsidR="00107B05" w:rsidRPr="001375C9" w:rsidRDefault="00107B05" w:rsidP="00994525">
            <w:pPr>
              <w:numPr>
                <w:ilvl w:val="1"/>
                <w:numId w:val="11"/>
              </w:numPr>
              <w:spacing w:line="360" w:lineRule="auto"/>
              <w:jc w:val="both"/>
              <w:rPr>
                <w:rFonts w:ascii="Times New Roman" w:hAnsi="Times New Roman" w:cs="Times New Roman"/>
              </w:rPr>
            </w:pPr>
            <w:r w:rsidRPr="001375C9">
              <w:rPr>
                <w:rFonts w:ascii="Times New Roman" w:hAnsi="Times New Roman" w:cs="Times New Roman"/>
              </w:rPr>
              <w:t>Tháng 3 xuất 15 đơn vị</w:t>
            </w:r>
          </w:p>
          <w:p w14:paraId="1ED8B33A" w14:textId="77777777" w:rsidR="00107B05" w:rsidRPr="001375C9" w:rsidRDefault="00107B05" w:rsidP="00994525">
            <w:pPr>
              <w:numPr>
                <w:ilvl w:val="1"/>
                <w:numId w:val="11"/>
              </w:numPr>
              <w:spacing w:line="360" w:lineRule="auto"/>
              <w:jc w:val="both"/>
              <w:rPr>
                <w:rFonts w:ascii="Times New Roman" w:hAnsi="Times New Roman" w:cs="Times New Roman"/>
              </w:rPr>
            </w:pPr>
            <w:r w:rsidRPr="001375C9">
              <w:rPr>
                <w:rFonts w:ascii="Times New Roman" w:hAnsi="Times New Roman" w:cs="Times New Roman"/>
              </w:rPr>
              <w:t>Tháng 4 mua 20 đơn vị @ £35</w:t>
            </w:r>
          </w:p>
          <w:p w14:paraId="7F3DD075" w14:textId="1DD42252" w:rsidR="00994525" w:rsidRPr="001375C9" w:rsidRDefault="00107B05" w:rsidP="007B25E5">
            <w:pPr>
              <w:numPr>
                <w:ilvl w:val="1"/>
                <w:numId w:val="11"/>
              </w:numPr>
              <w:spacing w:line="360" w:lineRule="auto"/>
              <w:jc w:val="both"/>
              <w:rPr>
                <w:rFonts w:ascii="Times New Roman" w:hAnsi="Times New Roman" w:cs="Times New Roman"/>
              </w:rPr>
            </w:pPr>
            <w:r w:rsidRPr="001375C9">
              <w:rPr>
                <w:rFonts w:ascii="Times New Roman" w:hAnsi="Times New Roman" w:cs="Times New Roman"/>
              </w:rPr>
              <w:t xml:space="preserve">Tháng 5 xuất 18 đơn vị </w:t>
            </w:r>
          </w:p>
        </w:tc>
        <w:tc>
          <w:tcPr>
            <w:tcW w:w="1224" w:type="dxa"/>
          </w:tcPr>
          <w:p w14:paraId="01731BA2" w14:textId="77777777" w:rsidR="00994525" w:rsidRPr="001375C9" w:rsidRDefault="00994525" w:rsidP="007B25E5">
            <w:pPr>
              <w:spacing w:line="360" w:lineRule="auto"/>
              <w:jc w:val="both"/>
              <w:rPr>
                <w:rFonts w:ascii="Times New Roman" w:hAnsi="Times New Roman" w:cs="Times New Roman"/>
                <w:lang w:val="vi-VN"/>
              </w:rPr>
            </w:pPr>
          </w:p>
        </w:tc>
      </w:tr>
    </w:tbl>
    <w:p w14:paraId="64FEAE6C" w14:textId="30A93BDA" w:rsidR="00994525" w:rsidRPr="001375C9" w:rsidRDefault="00994525" w:rsidP="00994525">
      <w:pPr>
        <w:spacing w:line="360" w:lineRule="auto"/>
        <w:ind w:left="720"/>
        <w:jc w:val="center"/>
        <w:rPr>
          <w:rFonts w:ascii="Times New Roman" w:hAnsi="Times New Roman" w:cs="Times New Roman"/>
        </w:rPr>
      </w:pPr>
      <w:r w:rsidRPr="001375C9">
        <w:rPr>
          <w:rFonts w:ascii="Times New Roman" w:hAnsi="Times New Roman" w:cs="Times New Roman"/>
          <w:noProof/>
        </w:rPr>
        <w:drawing>
          <wp:inline distT="0" distB="0" distL="0" distR="0" wp14:anchorId="6769D995" wp14:editId="001ED77F">
            <wp:extent cx="5040000" cy="2134154"/>
            <wp:effectExtent l="0" t="0" r="1905" b="0"/>
            <wp:docPr id="11" name="Picture 10">
              <a:extLst xmlns:a="http://schemas.openxmlformats.org/drawingml/2006/main">
                <a:ext uri="{FF2B5EF4-FFF2-40B4-BE49-F238E27FC236}">
                  <a16:creationId xmlns:a16="http://schemas.microsoft.com/office/drawing/2014/main" id="{76BDD3D3-7DB8-9BF4-4896-271DAA11F1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76BDD3D3-7DB8-9BF4-4896-271DAA11F1A5}"/>
                        </a:ext>
                      </a:extLst>
                    </pic:cNvPr>
                    <pic:cNvPicPr>
                      <a:picLocks noChangeAspect="1"/>
                    </pic:cNvPicPr>
                  </pic:nvPicPr>
                  <pic:blipFill>
                    <a:blip r:embed="rId6"/>
                    <a:stretch>
                      <a:fillRect/>
                    </a:stretch>
                  </pic:blipFill>
                  <pic:spPr>
                    <a:xfrm>
                      <a:off x="0" y="0"/>
                      <a:ext cx="5040000" cy="2134154"/>
                    </a:xfrm>
                    <a:prstGeom prst="rect">
                      <a:avLst/>
                    </a:prstGeom>
                  </pic:spPr>
                </pic:pic>
              </a:graphicData>
            </a:graphic>
          </wp:inline>
        </w:drawing>
      </w:r>
    </w:p>
    <w:p w14:paraId="447A9B84" w14:textId="08EC295A" w:rsidR="00107B05" w:rsidRPr="001375C9" w:rsidRDefault="00AB5E6A" w:rsidP="00994525">
      <w:pPr>
        <w:spacing w:line="360" w:lineRule="auto"/>
        <w:ind w:left="720"/>
        <w:jc w:val="both"/>
        <w:rPr>
          <w:rFonts w:ascii="Times New Roman" w:hAnsi="Times New Roman" w:cs="Times New Roman"/>
          <w:lang w:val="vi-VN"/>
        </w:rPr>
      </w:pPr>
      <w:r w:rsidRPr="001375C9">
        <w:rPr>
          <w:rFonts w:ascii="Times New Roman" w:hAnsi="Times New Roman" w:cs="Times New Roman"/>
          <w:lang w:val="vi-VN"/>
        </w:rPr>
        <w:t>Giá trị tồn kho cuối kỳ là £420 và giá trị xuất kho trong kỳ (giá vốn hàng bán) là £980.</w:t>
      </w:r>
    </w:p>
    <w:p w14:paraId="42021C6C" w14:textId="08D31619" w:rsidR="00107B05" w:rsidRPr="001375C9" w:rsidRDefault="00107B05" w:rsidP="00994525">
      <w:pPr>
        <w:spacing w:before="240" w:line="360" w:lineRule="auto"/>
        <w:jc w:val="both"/>
        <w:rPr>
          <w:rFonts w:ascii="Times New Roman" w:hAnsi="Times New Roman" w:cs="Times New Roman"/>
          <w:b/>
          <w:bCs/>
          <w:i/>
          <w:iCs/>
          <w:lang w:val="vi-VN"/>
        </w:rPr>
      </w:pPr>
      <w:r w:rsidRPr="001375C9">
        <w:rPr>
          <w:rFonts w:ascii="Times New Roman" w:hAnsi="Times New Roman" w:cs="Times New Roman"/>
          <w:b/>
          <w:bCs/>
          <w:i/>
          <w:iCs/>
          <w:lang w:val="vi-VN"/>
        </w:rPr>
        <w:lastRenderedPageBreak/>
        <w:t>Phương pháp nhập sau xuất trước (LIFO)</w:t>
      </w:r>
    </w:p>
    <w:p w14:paraId="6763C381" w14:textId="1EA2680A" w:rsidR="00107B05" w:rsidRPr="001375C9" w:rsidRDefault="00107B05"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Phương pháp nhập sau xuất trước đưa ra giả định ngược lại. Đó là </w:t>
      </w:r>
      <w:r w:rsidRPr="001375C9">
        <w:rPr>
          <w:rFonts w:ascii="Times New Roman" w:hAnsi="Times New Roman" w:cs="Times New Roman"/>
        </w:rPr>
        <w:t xml:space="preserve">dựa trên giả định hàng hoá nhập vào sau sẽ xuất ra trước. </w:t>
      </w:r>
      <w:r w:rsidRPr="001375C9">
        <w:rPr>
          <w:rFonts w:ascii="Times New Roman" w:hAnsi="Times New Roman" w:cs="Times New Roman"/>
          <w:lang w:val="vi-VN"/>
        </w:rPr>
        <w:t>Hàng</w:t>
      </w:r>
      <w:r w:rsidRPr="001375C9">
        <w:rPr>
          <w:rFonts w:ascii="Times New Roman" w:hAnsi="Times New Roman" w:cs="Times New Roman"/>
        </w:rPr>
        <w:t xml:space="preserve"> </w:t>
      </w:r>
      <w:r w:rsidRPr="001375C9">
        <w:rPr>
          <w:rFonts w:ascii="Times New Roman" w:hAnsi="Times New Roman" w:cs="Times New Roman"/>
          <w:lang w:val="vi-VN"/>
        </w:rPr>
        <w:t>tồn kho cuối kỳ là các lô hàng nhập kho cũ nhất. Vẫn sử dụng những thông tin từ Minh hoạ</w:t>
      </w:r>
      <w:r w:rsidR="00994525" w:rsidRPr="001375C9">
        <w:rPr>
          <w:rFonts w:ascii="Times New Roman" w:hAnsi="Times New Roman" w:cs="Times New Roman"/>
          <w:lang w:val="vi-VN"/>
        </w:rPr>
        <w:t xml:space="preserve"> 2</w:t>
      </w:r>
      <w:r w:rsidRPr="001375C9">
        <w:rPr>
          <w:rFonts w:ascii="Times New Roman" w:hAnsi="Times New Roman" w:cs="Times New Roman"/>
          <w:lang w:val="vi-VN"/>
        </w:rPr>
        <w:t xml:space="preserve">, hãy tính </w:t>
      </w:r>
      <w:r w:rsidRPr="001375C9">
        <w:rPr>
          <w:rFonts w:ascii="Times New Roman" w:hAnsi="Times New Roman" w:cs="Times New Roman"/>
        </w:rPr>
        <w:t>giá vốn hàng bán theo phương pháp LIFO</w:t>
      </w:r>
      <w:r w:rsidRPr="001375C9">
        <w:rPr>
          <w:rFonts w:ascii="Times New Roman" w:hAnsi="Times New Roman" w:cs="Times New Roman"/>
          <w:lang w:val="vi-VN"/>
        </w:rPr>
        <w:t>.</w:t>
      </w:r>
    </w:p>
    <w:p w14:paraId="577E0E97" w14:textId="22B75EA7" w:rsidR="00994525" w:rsidRPr="001375C9" w:rsidRDefault="00994525" w:rsidP="00994525">
      <w:pPr>
        <w:spacing w:line="360" w:lineRule="auto"/>
        <w:ind w:left="720"/>
        <w:jc w:val="both"/>
        <w:rPr>
          <w:rFonts w:ascii="Times New Roman" w:hAnsi="Times New Roman" w:cs="Times New Roman"/>
          <w:b/>
          <w:bCs/>
          <w:lang w:val="vi-VN"/>
        </w:rPr>
      </w:pPr>
      <w:r w:rsidRPr="001375C9">
        <w:rPr>
          <w:rFonts w:ascii="Times New Roman" w:hAnsi="Times New Roman" w:cs="Times New Roman"/>
          <w:b/>
          <w:bCs/>
        </w:rPr>
        <w:t>MINH HOẠ</w:t>
      </w:r>
      <w:r w:rsidRPr="001375C9">
        <w:rPr>
          <w:rFonts w:ascii="Times New Roman" w:hAnsi="Times New Roman" w:cs="Times New Roman"/>
          <w:b/>
          <w:bCs/>
          <w:lang w:val="vi-VN"/>
        </w:rPr>
        <w:t xml:space="preserve"> 3</w:t>
      </w:r>
    </w:p>
    <w:p w14:paraId="62572C0C" w14:textId="6CE1D2D6" w:rsidR="00107B05" w:rsidRPr="001375C9" w:rsidRDefault="00107B05" w:rsidP="00994525">
      <w:pPr>
        <w:spacing w:line="360" w:lineRule="auto"/>
        <w:ind w:left="720"/>
        <w:jc w:val="center"/>
        <w:rPr>
          <w:rFonts w:ascii="Times New Roman" w:hAnsi="Times New Roman" w:cs="Times New Roman"/>
          <w:lang w:val="vi-VN"/>
        </w:rPr>
      </w:pPr>
      <w:r w:rsidRPr="001375C9">
        <w:rPr>
          <w:rFonts w:ascii="Times New Roman" w:hAnsi="Times New Roman" w:cs="Times New Roman"/>
          <w:noProof/>
        </w:rPr>
        <w:drawing>
          <wp:inline distT="0" distB="0" distL="0" distR="0" wp14:anchorId="03B906BF" wp14:editId="205A7187">
            <wp:extent cx="5040000" cy="1963847"/>
            <wp:effectExtent l="0" t="0" r="1905" b="5080"/>
            <wp:docPr id="5" name="Picture 4">
              <a:extLst xmlns:a="http://schemas.openxmlformats.org/drawingml/2006/main">
                <a:ext uri="{FF2B5EF4-FFF2-40B4-BE49-F238E27FC236}">
                  <a16:creationId xmlns:a16="http://schemas.microsoft.com/office/drawing/2014/main" id="{D64090A9-324E-CC95-1A16-44A8B11317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64090A9-324E-CC95-1A16-44A8B113171B}"/>
                        </a:ext>
                      </a:extLst>
                    </pic:cNvPr>
                    <pic:cNvPicPr>
                      <a:picLocks noChangeAspect="1"/>
                    </pic:cNvPicPr>
                  </pic:nvPicPr>
                  <pic:blipFill>
                    <a:blip r:embed="rId7"/>
                    <a:stretch>
                      <a:fillRect/>
                    </a:stretch>
                  </pic:blipFill>
                  <pic:spPr>
                    <a:xfrm>
                      <a:off x="0" y="0"/>
                      <a:ext cx="5040000" cy="1963847"/>
                    </a:xfrm>
                    <a:prstGeom prst="rect">
                      <a:avLst/>
                    </a:prstGeom>
                  </pic:spPr>
                </pic:pic>
              </a:graphicData>
            </a:graphic>
          </wp:inline>
        </w:drawing>
      </w:r>
    </w:p>
    <w:p w14:paraId="2E62452B" w14:textId="7BF9DCF5" w:rsidR="00107B05" w:rsidRPr="001375C9" w:rsidRDefault="00AB5E6A" w:rsidP="00994525">
      <w:pPr>
        <w:spacing w:line="360" w:lineRule="auto"/>
        <w:ind w:left="720"/>
        <w:jc w:val="both"/>
        <w:rPr>
          <w:rFonts w:ascii="Times New Roman" w:hAnsi="Times New Roman" w:cs="Times New Roman"/>
          <w:lang w:val="vi-VN"/>
        </w:rPr>
      </w:pPr>
      <w:r w:rsidRPr="001375C9">
        <w:rPr>
          <w:rFonts w:ascii="Times New Roman" w:hAnsi="Times New Roman" w:cs="Times New Roman"/>
          <w:lang w:val="vi-VN"/>
        </w:rPr>
        <w:t>Giá trị tồn kho cuối kỳ là £320 và giá trị xuất kho trong kỳ (giá vốn hàng bán) là £1080.</w:t>
      </w:r>
    </w:p>
    <w:p w14:paraId="1C95C13E" w14:textId="57B3F363" w:rsidR="00107B05" w:rsidRPr="001375C9" w:rsidRDefault="00107B05" w:rsidP="00994525">
      <w:pPr>
        <w:spacing w:before="240" w:line="360" w:lineRule="auto"/>
        <w:jc w:val="both"/>
        <w:rPr>
          <w:rFonts w:ascii="Times New Roman" w:hAnsi="Times New Roman" w:cs="Times New Roman"/>
          <w:b/>
          <w:bCs/>
          <w:i/>
          <w:iCs/>
          <w:lang w:val="vi-VN"/>
        </w:rPr>
      </w:pPr>
      <w:r w:rsidRPr="001375C9">
        <w:rPr>
          <w:rFonts w:ascii="Times New Roman" w:hAnsi="Times New Roman" w:cs="Times New Roman"/>
          <w:b/>
          <w:bCs/>
          <w:i/>
          <w:iCs/>
          <w:lang w:val="vi-VN"/>
        </w:rPr>
        <w:t>Phương pháp bình quân gia quyền (Weighted Average)</w:t>
      </w:r>
    </w:p>
    <w:p w14:paraId="2D8D02F2" w14:textId="4199A093" w:rsidR="00AB5E6A" w:rsidRPr="001375C9" w:rsidRDefault="00AB5E6A"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Bằng phương pháp này, giá bình quân được áp dụng, được tính tỷ trọng theo các tỷ lệ khác nhau ở các mức chi phí khác nhau cho các mặt hàng hàng tồn kho. Minh hoạ</w:t>
      </w:r>
      <w:r w:rsidR="00994525" w:rsidRPr="001375C9">
        <w:rPr>
          <w:rFonts w:ascii="Times New Roman" w:hAnsi="Times New Roman" w:cs="Times New Roman"/>
          <w:lang w:val="vi-VN"/>
        </w:rPr>
        <w:t xml:space="preserve"> 4</w:t>
      </w:r>
      <w:r w:rsidRPr="001375C9">
        <w:rPr>
          <w:rFonts w:ascii="Times New Roman" w:hAnsi="Times New Roman" w:cs="Times New Roman"/>
          <w:lang w:val="vi-VN"/>
        </w:rPr>
        <w:t xml:space="preserve"> sẽ trình bày đầy đủ các bước trong phương pháp này (sử dụng các thông tin cung cấp trong Minh hoạ</w:t>
      </w:r>
      <w:r w:rsidR="00994525" w:rsidRPr="001375C9">
        <w:rPr>
          <w:rFonts w:ascii="Times New Roman" w:hAnsi="Times New Roman" w:cs="Times New Roman"/>
          <w:lang w:val="vi-VN"/>
        </w:rPr>
        <w:t xml:space="preserve"> 2</w:t>
      </w:r>
      <w:r w:rsidRPr="001375C9">
        <w:rPr>
          <w:rFonts w:ascii="Times New Roman" w:hAnsi="Times New Roman" w:cs="Times New Roman"/>
          <w:lang w:val="vi-VN"/>
        </w:rPr>
        <w:t xml:space="preserve">). Đây là một phương pháp phổ biến, được nhiều doanh nghiệp áp dụng vì nó giúp kế toán giảm bớt công việc tính toán. </w:t>
      </w:r>
    </w:p>
    <w:p w14:paraId="6F672FF9" w14:textId="28AFB468" w:rsidR="00994525" w:rsidRPr="001375C9" w:rsidRDefault="00994525" w:rsidP="00994525">
      <w:pPr>
        <w:spacing w:line="360" w:lineRule="auto"/>
        <w:ind w:left="720"/>
        <w:jc w:val="both"/>
        <w:rPr>
          <w:rFonts w:ascii="Times New Roman" w:hAnsi="Times New Roman" w:cs="Times New Roman"/>
          <w:b/>
          <w:bCs/>
          <w:lang w:val="vi-VN"/>
        </w:rPr>
      </w:pPr>
      <w:r w:rsidRPr="001375C9">
        <w:rPr>
          <w:rFonts w:ascii="Times New Roman" w:hAnsi="Times New Roman" w:cs="Times New Roman"/>
          <w:b/>
          <w:bCs/>
        </w:rPr>
        <w:t>MINH HOẠ</w:t>
      </w:r>
      <w:r w:rsidRPr="001375C9">
        <w:rPr>
          <w:rFonts w:ascii="Times New Roman" w:hAnsi="Times New Roman" w:cs="Times New Roman"/>
          <w:b/>
          <w:bCs/>
          <w:lang w:val="vi-VN"/>
        </w:rPr>
        <w:t xml:space="preserve"> 4</w:t>
      </w:r>
    </w:p>
    <w:p w14:paraId="64F18A61" w14:textId="130C0612" w:rsidR="00AB5E6A" w:rsidRPr="001375C9" w:rsidRDefault="00AB5E6A" w:rsidP="00994525">
      <w:pPr>
        <w:spacing w:line="360" w:lineRule="auto"/>
        <w:ind w:left="720"/>
        <w:jc w:val="center"/>
        <w:rPr>
          <w:rFonts w:ascii="Times New Roman" w:hAnsi="Times New Roman" w:cs="Times New Roman"/>
          <w:lang w:val="vi-VN"/>
        </w:rPr>
      </w:pPr>
      <w:r w:rsidRPr="001375C9">
        <w:rPr>
          <w:rFonts w:ascii="Times New Roman" w:hAnsi="Times New Roman" w:cs="Times New Roman"/>
          <w:noProof/>
        </w:rPr>
        <w:drawing>
          <wp:inline distT="0" distB="0" distL="0" distR="0" wp14:anchorId="12057000" wp14:editId="600E614B">
            <wp:extent cx="5040000" cy="1452922"/>
            <wp:effectExtent l="0" t="0" r="1905" b="0"/>
            <wp:docPr id="4" name="Picture 4">
              <a:extLst xmlns:a="http://schemas.openxmlformats.org/drawingml/2006/main">
                <a:ext uri="{FF2B5EF4-FFF2-40B4-BE49-F238E27FC236}">
                  <a16:creationId xmlns:a16="http://schemas.microsoft.com/office/drawing/2014/main" id="{8A7D6767-A75F-EB24-0DF4-0115671AF6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A7D6767-A75F-EB24-0DF4-0115671AF688}"/>
                        </a:ext>
                      </a:extLst>
                    </pic:cNvPr>
                    <pic:cNvPicPr>
                      <a:picLocks noChangeAspect="1"/>
                    </pic:cNvPicPr>
                  </pic:nvPicPr>
                  <pic:blipFill>
                    <a:blip r:embed="rId8"/>
                    <a:stretch>
                      <a:fillRect/>
                    </a:stretch>
                  </pic:blipFill>
                  <pic:spPr>
                    <a:xfrm>
                      <a:off x="0" y="0"/>
                      <a:ext cx="5040000" cy="1452922"/>
                    </a:xfrm>
                    <a:prstGeom prst="rect">
                      <a:avLst/>
                    </a:prstGeom>
                  </pic:spPr>
                </pic:pic>
              </a:graphicData>
            </a:graphic>
          </wp:inline>
        </w:drawing>
      </w:r>
    </w:p>
    <w:p w14:paraId="78B296DA" w14:textId="5F51EBE7" w:rsidR="00AB5E6A" w:rsidRPr="001375C9" w:rsidRDefault="00AB5E6A" w:rsidP="00994525">
      <w:pPr>
        <w:spacing w:line="360" w:lineRule="auto"/>
        <w:ind w:left="720"/>
        <w:jc w:val="both"/>
        <w:rPr>
          <w:rFonts w:ascii="Times New Roman" w:hAnsi="Times New Roman" w:cs="Times New Roman"/>
          <w:lang w:val="vi-VN"/>
        </w:rPr>
      </w:pPr>
      <w:r w:rsidRPr="001375C9">
        <w:rPr>
          <w:rFonts w:ascii="Times New Roman" w:hAnsi="Times New Roman" w:cs="Times New Roman"/>
          <w:lang w:val="vi-VN"/>
        </w:rPr>
        <w:t>Giá trị tồn kho cuối kỳ là £392 và giá trị xuất kho trong kỳ (giá vốn hàng bán) là £1008.</w:t>
      </w:r>
    </w:p>
    <w:p w14:paraId="4F51AB64" w14:textId="7D531DFE" w:rsidR="00AB5E6A" w:rsidRPr="001375C9" w:rsidRDefault="00AB5E6A" w:rsidP="00994525">
      <w:pPr>
        <w:spacing w:before="240" w:line="360" w:lineRule="auto"/>
        <w:jc w:val="both"/>
        <w:rPr>
          <w:rFonts w:ascii="Times New Roman" w:hAnsi="Times New Roman" w:cs="Times New Roman"/>
          <w:b/>
          <w:bCs/>
          <w:i/>
          <w:iCs/>
          <w:lang w:val="vi-VN"/>
        </w:rPr>
      </w:pPr>
      <w:r w:rsidRPr="001375C9">
        <w:rPr>
          <w:rFonts w:ascii="Times New Roman" w:hAnsi="Times New Roman" w:cs="Times New Roman"/>
          <w:b/>
          <w:bCs/>
          <w:i/>
          <w:iCs/>
          <w:lang w:val="vi-VN"/>
        </w:rPr>
        <w:t>Phương pháp theo mức tồn kho cơ sở (Base Inventory)</w:t>
      </w:r>
    </w:p>
    <w:p w14:paraId="06C68F90" w14:textId="6D3BC101" w:rsidR="00195462" w:rsidRPr="001375C9" w:rsidRDefault="00AB5E6A"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Phương pháp này dựa trên lập luận rằng có một mức tồn kho tối thiểu nhất định để duy trì hoạt động kinh doanh. Mức tồn kho tối thiểu này không sẵn sàng để bán (not available for sale), nên có thể coi là tài sản cố định. Mức tồn kho tối thiểu được tính theo giá gốc của hàng tồn kho và phần còn lại trên mức tối thiểu được tính theo một trong các phương pháp khác.</w:t>
      </w:r>
    </w:p>
    <w:p w14:paraId="45AAD32C" w14:textId="77777777" w:rsidR="001375C9" w:rsidRDefault="001375C9">
      <w:pPr>
        <w:rPr>
          <w:rFonts w:ascii="Times New Roman" w:hAnsi="Times New Roman" w:cs="Times New Roman"/>
          <w:b/>
          <w:bCs/>
        </w:rPr>
      </w:pPr>
      <w:r>
        <w:rPr>
          <w:rFonts w:ascii="Times New Roman" w:hAnsi="Times New Roman" w:cs="Times New Roman"/>
          <w:b/>
          <w:bCs/>
        </w:rPr>
        <w:br w:type="page"/>
      </w:r>
    </w:p>
    <w:p w14:paraId="042C9DF3" w14:textId="11A6C39B" w:rsidR="00AB5E6A" w:rsidRPr="001375C9" w:rsidRDefault="00AB5E6A" w:rsidP="00994525">
      <w:pPr>
        <w:spacing w:line="360" w:lineRule="auto"/>
        <w:ind w:left="720"/>
        <w:jc w:val="both"/>
        <w:rPr>
          <w:rFonts w:ascii="Times New Roman" w:hAnsi="Times New Roman" w:cs="Times New Roman"/>
          <w:b/>
          <w:bCs/>
          <w:lang w:val="vi-VN"/>
        </w:rPr>
      </w:pPr>
      <w:r w:rsidRPr="001375C9">
        <w:rPr>
          <w:rFonts w:ascii="Times New Roman" w:hAnsi="Times New Roman" w:cs="Times New Roman"/>
          <w:b/>
          <w:bCs/>
        </w:rPr>
        <w:lastRenderedPageBreak/>
        <w:t>MINH HOẠ</w:t>
      </w:r>
      <w:r w:rsidR="00994525" w:rsidRPr="001375C9">
        <w:rPr>
          <w:rFonts w:ascii="Times New Roman" w:hAnsi="Times New Roman" w:cs="Times New Roman"/>
          <w:b/>
          <w:bCs/>
          <w:lang w:val="vi-VN"/>
        </w:rPr>
        <w:t xml:space="preserve">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658"/>
        <w:gridCol w:w="1224"/>
      </w:tblGrid>
      <w:tr w:rsidR="00994525" w:rsidRPr="001375C9" w14:paraId="154B1A5D" w14:textId="77777777" w:rsidTr="00994525">
        <w:trPr>
          <w:trHeight w:val="2641"/>
        </w:trPr>
        <w:tc>
          <w:tcPr>
            <w:tcW w:w="1134" w:type="dxa"/>
          </w:tcPr>
          <w:p w14:paraId="76DA9211" w14:textId="77777777" w:rsidR="00994525" w:rsidRPr="001375C9" w:rsidRDefault="00994525" w:rsidP="007B25E5">
            <w:pPr>
              <w:spacing w:line="360" w:lineRule="auto"/>
              <w:jc w:val="both"/>
              <w:rPr>
                <w:rFonts w:ascii="Times New Roman" w:hAnsi="Times New Roman" w:cs="Times New Roman"/>
                <w:lang w:val="vi-VN"/>
              </w:rPr>
            </w:pPr>
          </w:p>
        </w:tc>
        <w:tc>
          <w:tcPr>
            <w:tcW w:w="6658" w:type="dxa"/>
          </w:tcPr>
          <w:p w14:paraId="1A8F33E7" w14:textId="77777777" w:rsidR="00994525" w:rsidRPr="001375C9" w:rsidRDefault="00994525" w:rsidP="00994525">
            <w:pPr>
              <w:spacing w:line="360" w:lineRule="auto"/>
              <w:jc w:val="both"/>
              <w:rPr>
                <w:rFonts w:ascii="Times New Roman" w:hAnsi="Times New Roman" w:cs="Times New Roman"/>
              </w:rPr>
            </w:pPr>
            <w:r w:rsidRPr="001375C9">
              <w:rPr>
                <w:rFonts w:ascii="Times New Roman" w:hAnsi="Times New Roman" w:cs="Times New Roman"/>
              </w:rPr>
              <w:t>Tính giá vốn hàng bán trong trường hợp mức hàng tồn kho tối thiểu là 10 đơn vị hàng hoá và sử dụng FIFO của công ty X.</w:t>
            </w:r>
          </w:p>
          <w:p w14:paraId="02C6E85C" w14:textId="77777777" w:rsidR="00AB5E6A" w:rsidRPr="001375C9" w:rsidRDefault="00AB5E6A" w:rsidP="00994525">
            <w:pPr>
              <w:numPr>
                <w:ilvl w:val="1"/>
                <w:numId w:val="11"/>
              </w:numPr>
              <w:spacing w:line="360" w:lineRule="auto"/>
              <w:jc w:val="both"/>
              <w:rPr>
                <w:rFonts w:ascii="Times New Roman" w:hAnsi="Times New Roman" w:cs="Times New Roman"/>
              </w:rPr>
            </w:pPr>
            <w:r w:rsidRPr="001375C9">
              <w:rPr>
                <w:rFonts w:ascii="Times New Roman" w:hAnsi="Times New Roman" w:cs="Times New Roman"/>
              </w:rPr>
              <w:t>Tháng 1 mua 10 đơn vị @ £25</w:t>
            </w:r>
          </w:p>
          <w:p w14:paraId="23CCB0D2" w14:textId="77777777" w:rsidR="00AB5E6A" w:rsidRPr="001375C9" w:rsidRDefault="00AB5E6A" w:rsidP="00994525">
            <w:pPr>
              <w:numPr>
                <w:ilvl w:val="1"/>
                <w:numId w:val="11"/>
              </w:numPr>
              <w:spacing w:line="360" w:lineRule="auto"/>
              <w:jc w:val="both"/>
              <w:rPr>
                <w:rFonts w:ascii="Times New Roman" w:hAnsi="Times New Roman" w:cs="Times New Roman"/>
              </w:rPr>
            </w:pPr>
            <w:r w:rsidRPr="001375C9">
              <w:rPr>
                <w:rFonts w:ascii="Times New Roman" w:hAnsi="Times New Roman" w:cs="Times New Roman"/>
              </w:rPr>
              <w:t>Tháng 2 mua 15 đơn vị @ £30</w:t>
            </w:r>
          </w:p>
          <w:p w14:paraId="7EA81FE2" w14:textId="77777777" w:rsidR="00AB5E6A" w:rsidRPr="001375C9" w:rsidRDefault="00AB5E6A" w:rsidP="00994525">
            <w:pPr>
              <w:numPr>
                <w:ilvl w:val="1"/>
                <w:numId w:val="11"/>
              </w:numPr>
              <w:spacing w:line="360" w:lineRule="auto"/>
              <w:jc w:val="both"/>
              <w:rPr>
                <w:rFonts w:ascii="Times New Roman" w:hAnsi="Times New Roman" w:cs="Times New Roman"/>
              </w:rPr>
            </w:pPr>
            <w:r w:rsidRPr="001375C9">
              <w:rPr>
                <w:rFonts w:ascii="Times New Roman" w:hAnsi="Times New Roman" w:cs="Times New Roman"/>
              </w:rPr>
              <w:t>Tháng 3 xuất 15 đơn vị</w:t>
            </w:r>
          </w:p>
          <w:p w14:paraId="12DC2FC5" w14:textId="77777777" w:rsidR="00AB5E6A" w:rsidRPr="001375C9" w:rsidRDefault="00AB5E6A" w:rsidP="00994525">
            <w:pPr>
              <w:numPr>
                <w:ilvl w:val="1"/>
                <w:numId w:val="11"/>
              </w:numPr>
              <w:spacing w:line="360" w:lineRule="auto"/>
              <w:jc w:val="both"/>
              <w:rPr>
                <w:rFonts w:ascii="Times New Roman" w:hAnsi="Times New Roman" w:cs="Times New Roman"/>
              </w:rPr>
            </w:pPr>
            <w:r w:rsidRPr="001375C9">
              <w:rPr>
                <w:rFonts w:ascii="Times New Roman" w:hAnsi="Times New Roman" w:cs="Times New Roman"/>
              </w:rPr>
              <w:t>Tháng 4 mua 20 đơn vị @ £35</w:t>
            </w:r>
          </w:p>
          <w:p w14:paraId="652A3774" w14:textId="017A4A1C" w:rsidR="00994525" w:rsidRPr="001375C9" w:rsidRDefault="00AB5E6A" w:rsidP="00994525">
            <w:pPr>
              <w:numPr>
                <w:ilvl w:val="1"/>
                <w:numId w:val="11"/>
              </w:numPr>
              <w:spacing w:line="360" w:lineRule="auto"/>
              <w:jc w:val="both"/>
              <w:rPr>
                <w:rFonts w:ascii="Times New Roman" w:hAnsi="Times New Roman" w:cs="Times New Roman"/>
              </w:rPr>
            </w:pPr>
            <w:r w:rsidRPr="001375C9">
              <w:rPr>
                <w:rFonts w:ascii="Times New Roman" w:hAnsi="Times New Roman" w:cs="Times New Roman"/>
              </w:rPr>
              <w:t>Tháng 5 xuất 18 đơn vị</w:t>
            </w:r>
          </w:p>
        </w:tc>
        <w:tc>
          <w:tcPr>
            <w:tcW w:w="1224" w:type="dxa"/>
          </w:tcPr>
          <w:p w14:paraId="1F9E41B2" w14:textId="77777777" w:rsidR="00994525" w:rsidRPr="001375C9" w:rsidRDefault="00994525" w:rsidP="007B25E5">
            <w:pPr>
              <w:spacing w:line="360" w:lineRule="auto"/>
              <w:jc w:val="both"/>
              <w:rPr>
                <w:rFonts w:ascii="Times New Roman" w:hAnsi="Times New Roman" w:cs="Times New Roman"/>
                <w:lang w:val="vi-VN"/>
              </w:rPr>
            </w:pPr>
          </w:p>
        </w:tc>
      </w:tr>
    </w:tbl>
    <w:p w14:paraId="1E3F20D0" w14:textId="1C0AC1F9" w:rsidR="00994525" w:rsidRPr="001375C9" w:rsidRDefault="00994525" w:rsidP="00994525">
      <w:pPr>
        <w:spacing w:line="360" w:lineRule="auto"/>
        <w:ind w:left="720"/>
        <w:jc w:val="center"/>
        <w:rPr>
          <w:rFonts w:ascii="Times New Roman" w:hAnsi="Times New Roman" w:cs="Times New Roman"/>
        </w:rPr>
      </w:pPr>
      <w:r w:rsidRPr="001375C9">
        <w:rPr>
          <w:rFonts w:ascii="Times New Roman" w:hAnsi="Times New Roman" w:cs="Times New Roman"/>
          <w:noProof/>
        </w:rPr>
        <w:drawing>
          <wp:inline distT="0" distB="0" distL="0" distR="0" wp14:anchorId="63C03FF4" wp14:editId="74B64840">
            <wp:extent cx="5040000" cy="1963847"/>
            <wp:effectExtent l="0" t="0" r="1905" b="5080"/>
            <wp:docPr id="13" name="Picture 12">
              <a:extLst xmlns:a="http://schemas.openxmlformats.org/drawingml/2006/main">
                <a:ext uri="{FF2B5EF4-FFF2-40B4-BE49-F238E27FC236}">
                  <a16:creationId xmlns:a16="http://schemas.microsoft.com/office/drawing/2014/main" id="{695238F7-663B-A823-D6E1-C4CBB8ECD6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695238F7-663B-A823-D6E1-C4CBB8ECD6E9}"/>
                        </a:ext>
                      </a:extLst>
                    </pic:cNvPr>
                    <pic:cNvPicPr>
                      <a:picLocks noChangeAspect="1"/>
                    </pic:cNvPicPr>
                  </pic:nvPicPr>
                  <pic:blipFill>
                    <a:blip r:embed="rId9"/>
                    <a:stretch>
                      <a:fillRect/>
                    </a:stretch>
                  </pic:blipFill>
                  <pic:spPr>
                    <a:xfrm>
                      <a:off x="0" y="0"/>
                      <a:ext cx="5040000" cy="1963847"/>
                    </a:xfrm>
                    <a:prstGeom prst="rect">
                      <a:avLst/>
                    </a:prstGeom>
                  </pic:spPr>
                </pic:pic>
              </a:graphicData>
            </a:graphic>
          </wp:inline>
        </w:drawing>
      </w:r>
    </w:p>
    <w:p w14:paraId="34923711" w14:textId="20DEA966" w:rsidR="00AB5E6A" w:rsidRPr="001375C9" w:rsidRDefault="00AB5E6A" w:rsidP="00994525">
      <w:pPr>
        <w:spacing w:line="360" w:lineRule="auto"/>
        <w:jc w:val="center"/>
        <w:rPr>
          <w:rFonts w:ascii="Times New Roman" w:hAnsi="Times New Roman" w:cs="Times New Roman"/>
          <w:lang w:val="vi-VN"/>
        </w:rPr>
      </w:pPr>
    </w:p>
    <w:p w14:paraId="315DBA0F" w14:textId="52A0A6B5" w:rsidR="00AB5E6A" w:rsidRPr="001375C9" w:rsidRDefault="00AB5E6A" w:rsidP="00994525">
      <w:pPr>
        <w:spacing w:line="360" w:lineRule="auto"/>
        <w:ind w:left="720"/>
        <w:jc w:val="both"/>
        <w:rPr>
          <w:rFonts w:ascii="Times New Roman" w:hAnsi="Times New Roman" w:cs="Times New Roman"/>
          <w:lang w:val="vi-VN"/>
        </w:rPr>
      </w:pPr>
      <w:r w:rsidRPr="001375C9">
        <w:rPr>
          <w:rFonts w:ascii="Times New Roman" w:hAnsi="Times New Roman" w:cs="Times New Roman"/>
          <w:lang w:val="vi-VN"/>
        </w:rPr>
        <w:t>Lưu ý rằng theo phương pháp này luôn phải giữ mức tồn kho tốn thiểu là 10 đơn vị hàng hoá theo giá gốc của nó ở trong kho. Giá trị tồn kho cuối kỳ là £320 và giá trị xuất kho trong kỳ (giá vốn hàng bán) là £1080.</w:t>
      </w:r>
    </w:p>
    <w:p w14:paraId="689FC5B1" w14:textId="3AB89384" w:rsidR="00994525" w:rsidRPr="001375C9" w:rsidRDefault="00994525" w:rsidP="00994525">
      <w:pPr>
        <w:spacing w:before="240" w:line="360" w:lineRule="auto"/>
        <w:jc w:val="both"/>
        <w:rPr>
          <w:rFonts w:ascii="Times New Roman" w:hAnsi="Times New Roman" w:cs="Times New Roman"/>
          <w:i/>
          <w:iCs/>
          <w:lang w:val="vi-VN"/>
        </w:rPr>
      </w:pPr>
      <w:r w:rsidRPr="001375C9">
        <w:rPr>
          <w:rFonts w:ascii="Times New Roman" w:hAnsi="Times New Roman" w:cs="Times New Roman"/>
          <w:i/>
          <w:iCs/>
          <w:lang w:val="vi-VN"/>
        </w:rPr>
        <w:t>Tuy nhiên, IAS 2 có chấp nhận tất cả các khả năng trên?</w:t>
      </w:r>
    </w:p>
    <w:p w14:paraId="13CE3CA5" w14:textId="11ED5036" w:rsidR="00994525" w:rsidRPr="001375C9" w:rsidRDefault="00994525" w:rsidP="00994525">
      <w:pPr>
        <w:spacing w:line="360" w:lineRule="auto"/>
        <w:jc w:val="both"/>
        <w:rPr>
          <w:rFonts w:ascii="Times New Roman" w:hAnsi="Times New Roman" w:cs="Times New Roman"/>
          <w:lang w:val="vi-VN"/>
        </w:rPr>
      </w:pPr>
      <w:r w:rsidRPr="001375C9">
        <w:rPr>
          <w:rFonts w:ascii="Times New Roman" w:hAnsi="Times New Roman" w:cs="Times New Roman"/>
          <w:i/>
          <w:iCs/>
          <w:lang w:val="vi-VN"/>
        </w:rPr>
        <w:t>Câu trả lời là KHÔNG.</w:t>
      </w:r>
      <w:r w:rsidRPr="001375C9">
        <w:rPr>
          <w:rFonts w:ascii="Times New Roman" w:hAnsi="Times New Roman" w:cs="Times New Roman"/>
          <w:lang w:val="vi-VN"/>
        </w:rPr>
        <w:t xml:space="preserve"> </w:t>
      </w:r>
      <w:r w:rsidRPr="001375C9">
        <w:rPr>
          <w:rFonts w:ascii="Times New Roman" w:hAnsi="Times New Roman" w:cs="Times New Roman"/>
          <w:b/>
          <w:bCs/>
          <w:lang w:val="vi-VN"/>
        </w:rPr>
        <w:t>IAS 2 chỉ chấp nhận việc áp dụng 3 trên 5 phương pháp kể trên, đó là: đích danh, FIFO và bình quân gia quyền.</w:t>
      </w:r>
    </w:p>
    <w:p w14:paraId="578A9192" w14:textId="6382234E" w:rsidR="00AB5E6A" w:rsidRPr="001375C9" w:rsidRDefault="00AB5E6A"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IAS 2 phân biệt giữa hàng hoá có thể thay thế cho nhau (interchangable goods) và hàng hoá không thể thay thế cho nhau (non-interchangable goods). Hàng hoá có thể thay thế cho nhau là những hàng hoá có đặc điểm vật lý giống hệt nhau và có thể hoán đổi cho nhau. Ngược lại, hàng hoá không thể thay thế cho nhau là những hàng hoá có đặc điểm vật lý hoàn toàn khác nhau và có thể xác định một cách độc lập. Đoạn 23 của </w:t>
      </w:r>
      <w:r w:rsidR="00A04AF6" w:rsidRPr="001375C9">
        <w:rPr>
          <w:rFonts w:ascii="Times New Roman" w:hAnsi="Times New Roman" w:cs="Times New Roman"/>
          <w:lang w:val="vi-VN"/>
        </w:rPr>
        <w:t>C</w:t>
      </w:r>
      <w:r w:rsidRPr="001375C9">
        <w:rPr>
          <w:rFonts w:ascii="Times New Roman" w:hAnsi="Times New Roman" w:cs="Times New Roman"/>
          <w:lang w:val="vi-VN"/>
        </w:rPr>
        <w:t>huẩn mực chỉ ra rằng nên sử dụng phương pháp đích danh cho hàng hoá không thể thay thế cho nhau và hàng hoá được sản xuất hoặc dịch vụ được cung cấp riêng cho các dự án cụ thể.</w:t>
      </w:r>
    </w:p>
    <w:p w14:paraId="580D9898" w14:textId="1B640CF4" w:rsidR="00AB5E6A" w:rsidRPr="001375C9" w:rsidRDefault="00AB5E6A"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Đối với các loại </w:t>
      </w:r>
      <w:r w:rsidRPr="001375C9">
        <w:rPr>
          <w:rFonts w:ascii="Times New Roman" w:hAnsi="Times New Roman" w:cs="Times New Roman"/>
        </w:rPr>
        <w:t>hàng hoá có thể thay thế cho nhau</w:t>
      </w:r>
      <w:r w:rsidRPr="001375C9">
        <w:rPr>
          <w:rFonts w:ascii="Times New Roman" w:hAnsi="Times New Roman" w:cs="Times New Roman"/>
          <w:lang w:val="vi-VN"/>
        </w:rPr>
        <w:t>, IAS 2 chấp nhận việc áp dụng FIFO hoặc bình quân gia quyền. Lưu ý rằng IAS 2 không chấp nhận việc sử dụng LIFO và phương pháp theo mức tồn kho cở sở.</w:t>
      </w:r>
    </w:p>
    <w:p w14:paraId="0FF7DEB3" w14:textId="77777777" w:rsidR="001375C9" w:rsidRDefault="001375C9">
      <w:pPr>
        <w:rPr>
          <w:rFonts w:ascii="Times New Roman" w:hAnsi="Times New Roman" w:cs="Times New Roman"/>
          <w:i/>
          <w:iCs/>
          <w:lang w:val="vi-VN"/>
        </w:rPr>
      </w:pPr>
      <w:r>
        <w:rPr>
          <w:rFonts w:ascii="Times New Roman" w:hAnsi="Times New Roman" w:cs="Times New Roman"/>
          <w:i/>
          <w:iCs/>
          <w:lang w:val="vi-VN"/>
        </w:rPr>
        <w:br w:type="page"/>
      </w:r>
    </w:p>
    <w:p w14:paraId="68519E04" w14:textId="45740BDC" w:rsidR="00AB5E6A" w:rsidRPr="001375C9" w:rsidRDefault="00AB5E6A" w:rsidP="00994525">
      <w:pPr>
        <w:spacing w:before="240" w:line="360" w:lineRule="auto"/>
        <w:jc w:val="both"/>
        <w:rPr>
          <w:rFonts w:ascii="Times New Roman" w:hAnsi="Times New Roman" w:cs="Times New Roman"/>
          <w:i/>
          <w:iCs/>
          <w:lang w:val="vi-VN"/>
        </w:rPr>
      </w:pPr>
      <w:r w:rsidRPr="001375C9">
        <w:rPr>
          <w:rFonts w:ascii="Times New Roman" w:hAnsi="Times New Roman" w:cs="Times New Roman"/>
          <w:i/>
          <w:iCs/>
          <w:lang w:val="vi-VN"/>
        </w:rPr>
        <w:lastRenderedPageBreak/>
        <w:t>Tại sao LIFO và phương pháp theo mức tồn kho cơ sở không được chấp nhận trong IAS 2?</w:t>
      </w:r>
    </w:p>
    <w:p w14:paraId="18BB001D" w14:textId="328ED577" w:rsidR="00AB5E6A" w:rsidRPr="001375C9" w:rsidRDefault="00AB5E6A"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Cả hai phương pháp đều chứng minh rằng hàng tồn kho cuối kỳ bao gồm giá của những hàng hoá cũ nhất. Vì vậy, hai phương pháp này thường dẫn đến việc giá trị báo cáo của hàng tồn kho được trình bày trong bảng cân đối kế toán (the statement of financial position) không sát với giá trị hiện tại. Hay nói cách khác, bảng cân đối kế toán theo LIFO và phương pháp theo mức tồn kho cơ sở sẽ bị coi là lỗi thời và không phù hợp. Khi điều này xảy ra, không chỉ việc trình bày tài sản ngắn hạn có thể bị sai lệch mà còn có khả năng làm sai lệch kết quả tiếp theo nếu mức hàng tồn kho giảm và chi phí lỗi thời được đưa vào báo cáo kết quả hoạt động kinh doanh toàn diện (the statement of comprehensive income). Ngoài ra, phương pháp LIFO, trong thời kỳ tăng giá, sẽ làm giảm lợi nhuận. Điều đó được chứng minh thông qua so sánh lợi nhuận gộp khi áp dụng các phương pháp khác nhau ở phần Minh hoạ (Hình</w:t>
      </w:r>
      <w:r w:rsidR="00994525" w:rsidRPr="001375C9">
        <w:rPr>
          <w:rFonts w:ascii="Times New Roman" w:hAnsi="Times New Roman" w:cs="Times New Roman"/>
          <w:lang w:val="vi-VN"/>
        </w:rPr>
        <w:t xml:space="preserve"> 1</w:t>
      </w:r>
      <w:r w:rsidRPr="001375C9">
        <w:rPr>
          <w:rFonts w:ascii="Times New Roman" w:hAnsi="Times New Roman" w:cs="Times New Roman"/>
          <w:lang w:val="vi-VN"/>
        </w:rPr>
        <w:t>), cùng một lượng doanh thu giống nhau, phương pháp LIFO và phương pháp mức tồn kho cơ sở đều cho ra kết quả trị giá hàng xuất kho cao nhất và từ đó sẽ có lợi nhuận thấp nhất.</w:t>
      </w:r>
    </w:p>
    <w:p w14:paraId="7820408E" w14:textId="2CA00548" w:rsidR="001852DB" w:rsidRPr="001375C9" w:rsidRDefault="00AB5E6A" w:rsidP="00994525">
      <w:pPr>
        <w:spacing w:line="360" w:lineRule="auto"/>
        <w:jc w:val="center"/>
        <w:rPr>
          <w:rFonts w:ascii="Times New Roman" w:hAnsi="Times New Roman" w:cs="Times New Roman"/>
          <w:lang w:val="vi-VN"/>
        </w:rPr>
      </w:pPr>
      <w:r w:rsidRPr="001375C9">
        <w:rPr>
          <w:rFonts w:ascii="Times New Roman" w:hAnsi="Times New Roman" w:cs="Times New Roman"/>
          <w:noProof/>
        </w:rPr>
        <w:drawing>
          <wp:inline distT="0" distB="0" distL="0" distR="0" wp14:anchorId="6275BDA9" wp14:editId="0828298D">
            <wp:extent cx="4320000" cy="1374589"/>
            <wp:effectExtent l="0" t="0" r="0" b="0"/>
            <wp:docPr id="10" name="Picture 9">
              <a:extLst xmlns:a="http://schemas.openxmlformats.org/drawingml/2006/main">
                <a:ext uri="{FF2B5EF4-FFF2-40B4-BE49-F238E27FC236}">
                  <a16:creationId xmlns:a16="http://schemas.microsoft.com/office/drawing/2014/main" id="{7D959240-91C4-0870-2834-3C55C15DF5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D959240-91C4-0870-2834-3C55C15DF52A}"/>
                        </a:ext>
                      </a:extLst>
                    </pic:cNvPr>
                    <pic:cNvPicPr>
                      <a:picLocks noChangeAspect="1"/>
                    </pic:cNvPicPr>
                  </pic:nvPicPr>
                  <pic:blipFill>
                    <a:blip r:embed="rId10"/>
                    <a:stretch>
                      <a:fillRect/>
                    </a:stretch>
                  </pic:blipFill>
                  <pic:spPr>
                    <a:xfrm>
                      <a:off x="0" y="0"/>
                      <a:ext cx="4320000" cy="1374589"/>
                    </a:xfrm>
                    <a:prstGeom prst="rect">
                      <a:avLst/>
                    </a:prstGeom>
                  </pic:spPr>
                </pic:pic>
              </a:graphicData>
            </a:graphic>
          </wp:inline>
        </w:drawing>
      </w:r>
    </w:p>
    <w:p w14:paraId="11F766D6" w14:textId="75F414B1" w:rsidR="00994525" w:rsidRPr="001375C9" w:rsidRDefault="00994525" w:rsidP="00994525">
      <w:pPr>
        <w:spacing w:line="360" w:lineRule="auto"/>
        <w:jc w:val="center"/>
        <w:rPr>
          <w:rFonts w:ascii="Times New Roman" w:hAnsi="Times New Roman" w:cs="Times New Roman"/>
          <w:i/>
          <w:iCs/>
          <w:lang w:val="vi-VN"/>
        </w:rPr>
      </w:pPr>
      <w:r w:rsidRPr="001375C9">
        <w:rPr>
          <w:rFonts w:ascii="Times New Roman" w:hAnsi="Times New Roman" w:cs="Times New Roman"/>
          <w:i/>
          <w:iCs/>
          <w:lang w:val="vi-VN"/>
        </w:rPr>
        <w:t>Hình 1: Bảng so sánh kết quả áp dụng các phương pháp tính giá xuất kho</w:t>
      </w:r>
    </w:p>
    <w:p w14:paraId="29F8BA96" w14:textId="2D0E5A98" w:rsidR="00AB5E6A" w:rsidRPr="001375C9" w:rsidRDefault="00AB5E6A" w:rsidP="00994525">
      <w:pPr>
        <w:spacing w:line="360" w:lineRule="auto"/>
        <w:jc w:val="both"/>
        <w:rPr>
          <w:rFonts w:ascii="Times New Roman" w:hAnsi="Times New Roman" w:cs="Times New Roman"/>
        </w:rPr>
      </w:pPr>
      <w:r w:rsidRPr="001375C9">
        <w:rPr>
          <w:rFonts w:ascii="Times New Roman" w:hAnsi="Times New Roman" w:cs="Times New Roman"/>
        </w:rPr>
        <w:t xml:space="preserve">Việc lựa chọn phương pháp để áp dụng, nhà quản trị phải thực hiện việc đánh giá để đảm bảo phương pháp được lựa chọn cung cấp giá trị gần đúng nhất có thể. </w:t>
      </w:r>
    </w:p>
    <w:p w14:paraId="20107236" w14:textId="4E489446" w:rsidR="00A04AF6" w:rsidRPr="001375C9" w:rsidRDefault="00A04AF6" w:rsidP="00994525">
      <w:pPr>
        <w:spacing w:line="360" w:lineRule="auto"/>
        <w:jc w:val="both"/>
        <w:rPr>
          <w:rFonts w:ascii="Times New Roman" w:hAnsi="Times New Roman" w:cs="Times New Roman"/>
          <w:lang w:val="vi-VN"/>
        </w:rPr>
      </w:pPr>
      <w:r w:rsidRPr="001375C9">
        <w:rPr>
          <w:rFonts w:ascii="Times New Roman" w:hAnsi="Times New Roman" w:cs="Times New Roman"/>
        </w:rPr>
        <w:t>Trái</w:t>
      </w:r>
      <w:r w:rsidRPr="001375C9">
        <w:rPr>
          <w:rFonts w:ascii="Times New Roman" w:hAnsi="Times New Roman" w:cs="Times New Roman"/>
          <w:lang w:val="vi-VN"/>
        </w:rPr>
        <w:t xml:space="preserve"> lại với IAS 2, hiện</w:t>
      </w:r>
      <w:r w:rsidR="00AB5E6A" w:rsidRPr="001375C9">
        <w:rPr>
          <w:rFonts w:ascii="Times New Roman" w:hAnsi="Times New Roman" w:cs="Times New Roman"/>
          <w:lang w:val="vi-VN"/>
        </w:rPr>
        <w:t xml:space="preserve"> nay</w:t>
      </w:r>
      <w:r w:rsidRPr="001375C9">
        <w:rPr>
          <w:rFonts w:ascii="Times New Roman" w:hAnsi="Times New Roman" w:cs="Times New Roman"/>
          <w:lang w:val="vi-VN"/>
        </w:rPr>
        <w:t xml:space="preserve"> VAS 2 vẫn đang cho phép sử dụng phương pháp LIFO (theo đoạn 13). Ngoài ra, VAS 2 cũng chấp nhận việc áp dụng phương pháp đích danh, FIFO và bình quân gia quyền giống với IAS 2. Trong IFRS, IAS 2 phân biệt giữa hàng hoá có thể thay thế cho nhau và hàng hoá không thể thay thế cho nhau để làm rõ phương pháp đích danh phù hợp với những hàng hoá không thể thay thế cho nhau và hàng hoá có thể thay thế cho nhau dùng những phương pháp còn lại (FIFO và bình quân gia quyền). Tuy nhiên, VAS 2 không có sự phân biệt này mà ghi rằng: “Phương pháp tính theo giá đích danh được áp dụng đối với doanh nghiệp có ít loại mặt hàng hoặc mặt hàng ổn định và nhận diện được.”</w:t>
      </w:r>
    </w:p>
    <w:p w14:paraId="042D5CA6" w14:textId="77777777" w:rsidR="001375C9" w:rsidRDefault="001375C9">
      <w:pPr>
        <w:rPr>
          <w:rFonts w:ascii="Times New Roman" w:hAnsi="Times New Roman" w:cs="Times New Roman"/>
          <w:b/>
          <w:bCs/>
          <w:lang w:val="vi-VN"/>
        </w:rPr>
      </w:pPr>
      <w:r>
        <w:rPr>
          <w:rFonts w:ascii="Times New Roman" w:hAnsi="Times New Roman" w:cs="Times New Roman"/>
          <w:b/>
          <w:bCs/>
          <w:lang w:val="vi-VN"/>
        </w:rPr>
        <w:br w:type="page"/>
      </w:r>
    </w:p>
    <w:p w14:paraId="6F680B9D" w14:textId="33274275" w:rsidR="00AB5E6A" w:rsidRPr="001375C9" w:rsidRDefault="00994525" w:rsidP="00994525">
      <w:pPr>
        <w:spacing w:before="240" w:line="360" w:lineRule="auto"/>
        <w:jc w:val="both"/>
        <w:rPr>
          <w:rFonts w:ascii="Times New Roman" w:hAnsi="Times New Roman" w:cs="Times New Roman"/>
          <w:b/>
          <w:bCs/>
          <w:lang w:val="vi-VN"/>
        </w:rPr>
      </w:pPr>
      <w:r w:rsidRPr="001375C9">
        <w:rPr>
          <w:rFonts w:ascii="Times New Roman" w:hAnsi="Times New Roman" w:cs="Times New Roman"/>
          <w:b/>
          <w:bCs/>
          <w:lang w:val="vi-VN"/>
        </w:rPr>
        <w:lastRenderedPageBreak/>
        <w:t>D. YÊU CẦU TRÌNH BÀY HÀNG TỒN KHO THEO IAS 2</w:t>
      </w:r>
    </w:p>
    <w:p w14:paraId="32CDF557" w14:textId="5C66B358" w:rsidR="00AB5E6A" w:rsidRPr="001375C9" w:rsidRDefault="00AB5E6A"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Yêu cầu trình bày thông tin</w:t>
      </w:r>
      <w:r w:rsidR="00994525" w:rsidRPr="001375C9">
        <w:rPr>
          <w:rFonts w:ascii="Times New Roman" w:hAnsi="Times New Roman" w:cs="Times New Roman"/>
          <w:lang w:val="vi-VN"/>
        </w:rPr>
        <w:t xml:space="preserve"> về hàng tồn kho</w:t>
      </w:r>
      <w:r w:rsidRPr="001375C9">
        <w:rPr>
          <w:rFonts w:ascii="Times New Roman" w:hAnsi="Times New Roman" w:cs="Times New Roman"/>
          <w:lang w:val="vi-VN"/>
        </w:rPr>
        <w:t xml:space="preserve"> của IAS 2 tương tự như các yêu cầu đối với các loại tài sản khác. Người sử dụng báo cáo tài chính cần được thông báo về các chính sách kế toán được áp dụng để đo lường hàng tồn kho, bao gồm các phương pháp tính giá xuất kho được sử dụng. Giá trị báo cáo của hàng tồn kho phải được trình bày và phân loại theo cách mà chúng được đo lường (giá gốc hoặc giá trị thuần có thể thực hiện được). Kế toán cũng cần trình bày về số tiền mà hàng tồn kho bị giảm giá trị và những chi phí hàng tồn kho được ghi nhận là chi phí trong kỳ. Nếu có, những khoản hoàn lại cũng phải được trình bày rõ để người sử dụng báo cáo tài chính nắm được. </w:t>
      </w:r>
    </w:p>
    <w:p w14:paraId="6DBA26F6" w14:textId="47823900" w:rsidR="007239F6" w:rsidRPr="001375C9" w:rsidRDefault="007239F6" w:rsidP="00994525">
      <w:pPr>
        <w:spacing w:line="360" w:lineRule="auto"/>
        <w:jc w:val="both"/>
        <w:rPr>
          <w:rFonts w:ascii="Times New Roman" w:hAnsi="Times New Roman" w:cs="Times New Roman"/>
          <w:lang w:val="vi-VN"/>
        </w:rPr>
      </w:pPr>
      <w:r w:rsidRPr="001375C9">
        <w:rPr>
          <w:rFonts w:ascii="Times New Roman" w:hAnsi="Times New Roman" w:cs="Times New Roman"/>
          <w:lang w:val="vi-VN"/>
        </w:rPr>
        <w:t xml:space="preserve">Các yêu cầu trình bày hàng tồn kho theo VAS 2 được nhắc đến ở đoạn 27-29. Nhìn chung, những yêu cầu này tương tự với IAS 2, ngoại trừ đoạn 28 đưa ra yêu cầu bổ sung về trình bày cho các doanh nghiệp lựa chọn phương pháp LIFO. </w:t>
      </w:r>
    </w:p>
    <w:p w14:paraId="4842D37B" w14:textId="77777777" w:rsidR="007239F6" w:rsidRPr="001375C9" w:rsidRDefault="00F15836" w:rsidP="007239F6">
      <w:pPr>
        <w:spacing w:before="240" w:line="360" w:lineRule="auto"/>
        <w:jc w:val="both"/>
        <w:rPr>
          <w:rFonts w:ascii="Times New Roman" w:hAnsi="Times New Roman" w:cs="Times New Roman"/>
          <w:b/>
          <w:bCs/>
          <w:lang w:val="vi-VN"/>
        </w:rPr>
      </w:pPr>
      <w:r w:rsidRPr="001375C9">
        <w:rPr>
          <w:rFonts w:ascii="Times New Roman" w:hAnsi="Times New Roman" w:cs="Times New Roman"/>
          <w:b/>
          <w:bCs/>
          <w:lang w:val="vi-VN"/>
        </w:rPr>
        <w:t xml:space="preserve">Kết luận </w:t>
      </w:r>
    </w:p>
    <w:p w14:paraId="676517AA" w14:textId="64FEAE40" w:rsidR="007239F6" w:rsidRPr="001375C9" w:rsidRDefault="00160DC9" w:rsidP="007239F6">
      <w:pPr>
        <w:spacing w:line="360" w:lineRule="auto"/>
        <w:jc w:val="both"/>
        <w:rPr>
          <w:rFonts w:ascii="Times New Roman" w:hAnsi="Times New Roman" w:cs="Times New Roman"/>
          <w:lang w:val="vi-VN"/>
        </w:rPr>
      </w:pPr>
      <w:r w:rsidRPr="001375C9">
        <w:rPr>
          <w:rFonts w:ascii="Times New Roman" w:hAnsi="Times New Roman" w:cs="Times New Roman"/>
          <w:lang w:val="vi-VN"/>
        </w:rPr>
        <w:t>B</w:t>
      </w:r>
      <w:r w:rsidR="007239F6" w:rsidRPr="001375C9">
        <w:rPr>
          <w:rFonts w:ascii="Times New Roman" w:hAnsi="Times New Roman" w:cs="Times New Roman"/>
          <w:lang w:val="vi-VN"/>
        </w:rPr>
        <w:t xml:space="preserve">áo cáo đã đưa ra những nghiên cứu về Chuẩn mực IAS 2, cụ thể liên quan đến đến định nghĩa, phương pháp đánh giá hàng tồn kho (đo lường theo giá thấp hơn giữa giá gốc và giá trị thuần có thể thực hiện được), phương pháp tính giá xuất kho (đích danh, FIFO và bình quân gia quyền), và các yêu cầu trình bày hàng tồn kho trên báo cáo tài chính. Đồng thời, các so sánh với VAS 2 được đưa ra. Nghiên cứu đã cho thấy hai Chuẩn mực IAS 2 và VAS 2 có một vài điểm giống nhau. Cụ thể, (1) định nghĩa hàng tồn kho của hai Chuẩn mực khá sát nhau, (2) hai Chuẩn mực đều yêu cầu đo lường theo giá thấp hơn giữa giá gốc và giá trị thuần có thể thực hiện được và đánh giá hàng tồn kho trước kỳ báo cáo năm theo cơ sở từng khoản mục, (3) cả hai Chuẩn mực đều chấp nhận phương pháp đích danh, FIFO và bình quân gia quyền, (4) các yêu cầu về trình bày trên báo cáo tài chính tương đối giống nhau. Bên cạnh đó, một số điểm khác biệt cũng được chỉ ra như (1) trong khi IAS 2 phân loại hàng tồn kho theo loại hình doanh nghiệp: thương mại, sản xuất và dịch vụ, thì VAS 2 lại phân loại cụ thể hàng tồn kho theo tình trạng của chúng: hàng mua đang đi trên đường, hàng gửi đi bán, hàng hoá gửi đi gia công chế biến và thành phẩm gửi bán, (2) khác với IAS 2, VAS 2 chấp nhận việc áp dụng phương pháp LIFO trong tính giá trị hàng tồn kho, từ đó dẫn đến điểm khác biệt (3) về trình bày, VAS 2 có thêm những yêu cầu bổ sung nếu doanh nghiệp sử dụng LIFO. </w:t>
      </w:r>
      <w:r w:rsidRPr="001375C9">
        <w:rPr>
          <w:rFonts w:ascii="Times New Roman" w:hAnsi="Times New Roman" w:cs="Times New Roman"/>
          <w:lang w:val="vi-VN"/>
        </w:rPr>
        <w:t xml:space="preserve">Tóm lại, để đáp ứng nhu cầu áp dụng IFRS nói chung và IAS 2 nói riêng tại Việt Nam kịp thời, việc nghiên cứu về bộ Chuẩn mực Báo cáo tài chính Quốc tế này là cần thiết. </w:t>
      </w:r>
    </w:p>
    <w:p w14:paraId="323A55C1" w14:textId="2C49B125" w:rsidR="00EB631B" w:rsidRPr="001375C9" w:rsidRDefault="00EB631B" w:rsidP="00F15836">
      <w:pPr>
        <w:spacing w:before="240" w:line="360" w:lineRule="auto"/>
        <w:jc w:val="both"/>
        <w:rPr>
          <w:rFonts w:ascii="Times New Roman" w:hAnsi="Times New Roman" w:cs="Times New Roman"/>
          <w:b/>
          <w:bCs/>
          <w:lang w:val="vi-VN"/>
        </w:rPr>
      </w:pPr>
    </w:p>
    <w:sectPr w:rsidR="00EB631B" w:rsidRPr="001375C9" w:rsidSect="00994525">
      <w:pgSz w:w="11906" w:h="16838"/>
      <w:pgMar w:top="964" w:right="1440" w:bottom="11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95773"/>
    <w:multiLevelType w:val="hybridMultilevel"/>
    <w:tmpl w:val="E0DC0EEA"/>
    <w:lvl w:ilvl="0" w:tplc="FFFFFFFF">
      <w:numFmt w:val="bullet"/>
      <w:lvlText w:val="-"/>
      <w:lvlJc w:val="left"/>
      <w:pPr>
        <w:ind w:left="1571" w:hanging="360"/>
      </w:pPr>
      <w:rPr>
        <w:rFonts w:ascii="Times New Roman" w:eastAsia="SimSun" w:hAnsi="Times New Roman" w:cs="Times New Roman" w:hint="default"/>
      </w:rPr>
    </w:lvl>
    <w:lvl w:ilvl="1" w:tplc="32181274">
      <w:numFmt w:val="bullet"/>
      <w:lvlText w:val="-"/>
      <w:lvlJc w:val="left"/>
      <w:pPr>
        <w:ind w:left="2291" w:hanging="360"/>
      </w:pPr>
      <w:rPr>
        <w:rFonts w:ascii="Times New Roman" w:eastAsia="SimSun" w:hAnsi="Times New Roman" w:cs="Times New Roman"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 w15:restartNumberingAfterBreak="0">
    <w:nsid w:val="20C83F25"/>
    <w:multiLevelType w:val="hybridMultilevel"/>
    <w:tmpl w:val="108C1FDE"/>
    <w:lvl w:ilvl="0" w:tplc="E9642E5E">
      <w:start w:val="1"/>
      <w:numFmt w:val="lowerLetter"/>
      <w:lvlText w:val="(%1)"/>
      <w:lvlJc w:val="left"/>
      <w:pPr>
        <w:tabs>
          <w:tab w:val="num" w:pos="720"/>
        </w:tabs>
        <w:ind w:left="720" w:hanging="360"/>
      </w:pPr>
    </w:lvl>
    <w:lvl w:ilvl="1" w:tplc="09880288">
      <w:start w:val="8"/>
      <w:numFmt w:val="bullet"/>
      <w:lvlText w:val="-"/>
      <w:lvlJc w:val="left"/>
      <w:pPr>
        <w:ind w:left="1440" w:hanging="360"/>
      </w:pPr>
      <w:rPr>
        <w:rFonts w:ascii="Times New Roman" w:eastAsiaTheme="minorHAnsi" w:hAnsi="Times New Roman" w:cs="Times New Roman" w:hint="default"/>
      </w:rPr>
    </w:lvl>
    <w:lvl w:ilvl="2" w:tplc="54CC849C" w:tentative="1">
      <w:start w:val="1"/>
      <w:numFmt w:val="lowerLetter"/>
      <w:lvlText w:val="(%3)"/>
      <w:lvlJc w:val="left"/>
      <w:pPr>
        <w:tabs>
          <w:tab w:val="num" w:pos="2160"/>
        </w:tabs>
        <w:ind w:left="2160" w:hanging="360"/>
      </w:pPr>
    </w:lvl>
    <w:lvl w:ilvl="3" w:tplc="DDA0D282" w:tentative="1">
      <w:start w:val="1"/>
      <w:numFmt w:val="lowerLetter"/>
      <w:lvlText w:val="(%4)"/>
      <w:lvlJc w:val="left"/>
      <w:pPr>
        <w:tabs>
          <w:tab w:val="num" w:pos="2880"/>
        </w:tabs>
        <w:ind w:left="2880" w:hanging="360"/>
      </w:pPr>
    </w:lvl>
    <w:lvl w:ilvl="4" w:tplc="4238B870" w:tentative="1">
      <w:start w:val="1"/>
      <w:numFmt w:val="lowerLetter"/>
      <w:lvlText w:val="(%5)"/>
      <w:lvlJc w:val="left"/>
      <w:pPr>
        <w:tabs>
          <w:tab w:val="num" w:pos="3600"/>
        </w:tabs>
        <w:ind w:left="3600" w:hanging="360"/>
      </w:pPr>
    </w:lvl>
    <w:lvl w:ilvl="5" w:tplc="2CD67512" w:tentative="1">
      <w:start w:val="1"/>
      <w:numFmt w:val="lowerLetter"/>
      <w:lvlText w:val="(%6)"/>
      <w:lvlJc w:val="left"/>
      <w:pPr>
        <w:tabs>
          <w:tab w:val="num" w:pos="4320"/>
        </w:tabs>
        <w:ind w:left="4320" w:hanging="360"/>
      </w:pPr>
    </w:lvl>
    <w:lvl w:ilvl="6" w:tplc="C152116A" w:tentative="1">
      <w:start w:val="1"/>
      <w:numFmt w:val="lowerLetter"/>
      <w:lvlText w:val="(%7)"/>
      <w:lvlJc w:val="left"/>
      <w:pPr>
        <w:tabs>
          <w:tab w:val="num" w:pos="5040"/>
        </w:tabs>
        <w:ind w:left="5040" w:hanging="360"/>
      </w:pPr>
    </w:lvl>
    <w:lvl w:ilvl="7" w:tplc="772C74B2" w:tentative="1">
      <w:start w:val="1"/>
      <w:numFmt w:val="lowerLetter"/>
      <w:lvlText w:val="(%8)"/>
      <w:lvlJc w:val="left"/>
      <w:pPr>
        <w:tabs>
          <w:tab w:val="num" w:pos="5760"/>
        </w:tabs>
        <w:ind w:left="5760" w:hanging="360"/>
      </w:pPr>
    </w:lvl>
    <w:lvl w:ilvl="8" w:tplc="3E9AEC9A" w:tentative="1">
      <w:start w:val="1"/>
      <w:numFmt w:val="lowerLetter"/>
      <w:lvlText w:val="(%9)"/>
      <w:lvlJc w:val="left"/>
      <w:pPr>
        <w:tabs>
          <w:tab w:val="num" w:pos="6480"/>
        </w:tabs>
        <w:ind w:left="6480" w:hanging="360"/>
      </w:pPr>
    </w:lvl>
  </w:abstractNum>
  <w:abstractNum w:abstractNumId="2" w15:restartNumberingAfterBreak="0">
    <w:nsid w:val="2E5A6B4B"/>
    <w:multiLevelType w:val="hybridMultilevel"/>
    <w:tmpl w:val="EA382E74"/>
    <w:lvl w:ilvl="0" w:tplc="6590C536">
      <w:start w:val="1"/>
      <w:numFmt w:val="bullet"/>
      <w:lvlText w:val="•"/>
      <w:lvlJc w:val="left"/>
      <w:pPr>
        <w:tabs>
          <w:tab w:val="num" w:pos="720"/>
        </w:tabs>
        <w:ind w:left="720" w:hanging="360"/>
      </w:pPr>
      <w:rPr>
        <w:rFonts w:ascii="Arial" w:hAnsi="Arial" w:hint="default"/>
      </w:rPr>
    </w:lvl>
    <w:lvl w:ilvl="1" w:tplc="46CC67AC" w:tentative="1">
      <w:start w:val="1"/>
      <w:numFmt w:val="bullet"/>
      <w:lvlText w:val="•"/>
      <w:lvlJc w:val="left"/>
      <w:pPr>
        <w:tabs>
          <w:tab w:val="num" w:pos="1440"/>
        </w:tabs>
        <w:ind w:left="1440" w:hanging="360"/>
      </w:pPr>
      <w:rPr>
        <w:rFonts w:ascii="Arial" w:hAnsi="Arial" w:hint="default"/>
      </w:rPr>
    </w:lvl>
    <w:lvl w:ilvl="2" w:tplc="B768B37E" w:tentative="1">
      <w:start w:val="1"/>
      <w:numFmt w:val="bullet"/>
      <w:lvlText w:val="•"/>
      <w:lvlJc w:val="left"/>
      <w:pPr>
        <w:tabs>
          <w:tab w:val="num" w:pos="2160"/>
        </w:tabs>
        <w:ind w:left="2160" w:hanging="360"/>
      </w:pPr>
      <w:rPr>
        <w:rFonts w:ascii="Arial" w:hAnsi="Arial" w:hint="default"/>
      </w:rPr>
    </w:lvl>
    <w:lvl w:ilvl="3" w:tplc="9F66B9CE" w:tentative="1">
      <w:start w:val="1"/>
      <w:numFmt w:val="bullet"/>
      <w:lvlText w:val="•"/>
      <w:lvlJc w:val="left"/>
      <w:pPr>
        <w:tabs>
          <w:tab w:val="num" w:pos="2880"/>
        </w:tabs>
        <w:ind w:left="2880" w:hanging="360"/>
      </w:pPr>
      <w:rPr>
        <w:rFonts w:ascii="Arial" w:hAnsi="Arial" w:hint="default"/>
      </w:rPr>
    </w:lvl>
    <w:lvl w:ilvl="4" w:tplc="AF607F6A" w:tentative="1">
      <w:start w:val="1"/>
      <w:numFmt w:val="bullet"/>
      <w:lvlText w:val="•"/>
      <w:lvlJc w:val="left"/>
      <w:pPr>
        <w:tabs>
          <w:tab w:val="num" w:pos="3600"/>
        </w:tabs>
        <w:ind w:left="3600" w:hanging="360"/>
      </w:pPr>
      <w:rPr>
        <w:rFonts w:ascii="Arial" w:hAnsi="Arial" w:hint="default"/>
      </w:rPr>
    </w:lvl>
    <w:lvl w:ilvl="5" w:tplc="81A0361A" w:tentative="1">
      <w:start w:val="1"/>
      <w:numFmt w:val="bullet"/>
      <w:lvlText w:val="•"/>
      <w:lvlJc w:val="left"/>
      <w:pPr>
        <w:tabs>
          <w:tab w:val="num" w:pos="4320"/>
        </w:tabs>
        <w:ind w:left="4320" w:hanging="360"/>
      </w:pPr>
      <w:rPr>
        <w:rFonts w:ascii="Arial" w:hAnsi="Arial" w:hint="default"/>
      </w:rPr>
    </w:lvl>
    <w:lvl w:ilvl="6" w:tplc="E586CF7A" w:tentative="1">
      <w:start w:val="1"/>
      <w:numFmt w:val="bullet"/>
      <w:lvlText w:val="•"/>
      <w:lvlJc w:val="left"/>
      <w:pPr>
        <w:tabs>
          <w:tab w:val="num" w:pos="5040"/>
        </w:tabs>
        <w:ind w:left="5040" w:hanging="360"/>
      </w:pPr>
      <w:rPr>
        <w:rFonts w:ascii="Arial" w:hAnsi="Arial" w:hint="default"/>
      </w:rPr>
    </w:lvl>
    <w:lvl w:ilvl="7" w:tplc="05FE50C4" w:tentative="1">
      <w:start w:val="1"/>
      <w:numFmt w:val="bullet"/>
      <w:lvlText w:val="•"/>
      <w:lvlJc w:val="left"/>
      <w:pPr>
        <w:tabs>
          <w:tab w:val="num" w:pos="5760"/>
        </w:tabs>
        <w:ind w:left="5760" w:hanging="360"/>
      </w:pPr>
      <w:rPr>
        <w:rFonts w:ascii="Arial" w:hAnsi="Arial" w:hint="default"/>
      </w:rPr>
    </w:lvl>
    <w:lvl w:ilvl="8" w:tplc="EC12F0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166EA1"/>
    <w:multiLevelType w:val="hybridMultilevel"/>
    <w:tmpl w:val="2E2A84F8"/>
    <w:lvl w:ilvl="0" w:tplc="FFFFFFFF">
      <w:start w:val="1"/>
      <w:numFmt w:val="bullet"/>
      <w:lvlText w:val="•"/>
      <w:lvlJc w:val="left"/>
      <w:pPr>
        <w:tabs>
          <w:tab w:val="num" w:pos="720"/>
        </w:tabs>
        <w:ind w:left="720" w:hanging="360"/>
      </w:pPr>
      <w:rPr>
        <w:rFonts w:ascii="Arial" w:hAnsi="Arial"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881FB7"/>
    <w:multiLevelType w:val="hybridMultilevel"/>
    <w:tmpl w:val="C66A4920"/>
    <w:lvl w:ilvl="0" w:tplc="D3C00CCC">
      <w:start w:val="1"/>
      <w:numFmt w:val="bullet"/>
      <w:lvlText w:val="•"/>
      <w:lvlJc w:val="left"/>
      <w:pPr>
        <w:tabs>
          <w:tab w:val="num" w:pos="720"/>
        </w:tabs>
        <w:ind w:left="720" w:hanging="360"/>
      </w:pPr>
      <w:rPr>
        <w:rFonts w:ascii="Arial" w:hAnsi="Arial" w:hint="default"/>
      </w:rPr>
    </w:lvl>
    <w:lvl w:ilvl="1" w:tplc="424267A6">
      <w:start w:val="1"/>
      <w:numFmt w:val="bullet"/>
      <w:lvlText w:val="•"/>
      <w:lvlJc w:val="left"/>
      <w:pPr>
        <w:tabs>
          <w:tab w:val="num" w:pos="1440"/>
        </w:tabs>
        <w:ind w:left="1440" w:hanging="360"/>
      </w:pPr>
      <w:rPr>
        <w:rFonts w:ascii="Arial" w:hAnsi="Arial" w:hint="default"/>
      </w:rPr>
    </w:lvl>
    <w:lvl w:ilvl="2" w:tplc="D2545F26" w:tentative="1">
      <w:start w:val="1"/>
      <w:numFmt w:val="bullet"/>
      <w:lvlText w:val="•"/>
      <w:lvlJc w:val="left"/>
      <w:pPr>
        <w:tabs>
          <w:tab w:val="num" w:pos="2160"/>
        </w:tabs>
        <w:ind w:left="2160" w:hanging="360"/>
      </w:pPr>
      <w:rPr>
        <w:rFonts w:ascii="Arial" w:hAnsi="Arial" w:hint="default"/>
      </w:rPr>
    </w:lvl>
    <w:lvl w:ilvl="3" w:tplc="D4229DA4" w:tentative="1">
      <w:start w:val="1"/>
      <w:numFmt w:val="bullet"/>
      <w:lvlText w:val="•"/>
      <w:lvlJc w:val="left"/>
      <w:pPr>
        <w:tabs>
          <w:tab w:val="num" w:pos="2880"/>
        </w:tabs>
        <w:ind w:left="2880" w:hanging="360"/>
      </w:pPr>
      <w:rPr>
        <w:rFonts w:ascii="Arial" w:hAnsi="Arial" w:hint="default"/>
      </w:rPr>
    </w:lvl>
    <w:lvl w:ilvl="4" w:tplc="450661F6" w:tentative="1">
      <w:start w:val="1"/>
      <w:numFmt w:val="bullet"/>
      <w:lvlText w:val="•"/>
      <w:lvlJc w:val="left"/>
      <w:pPr>
        <w:tabs>
          <w:tab w:val="num" w:pos="3600"/>
        </w:tabs>
        <w:ind w:left="3600" w:hanging="360"/>
      </w:pPr>
      <w:rPr>
        <w:rFonts w:ascii="Arial" w:hAnsi="Arial" w:hint="default"/>
      </w:rPr>
    </w:lvl>
    <w:lvl w:ilvl="5" w:tplc="779E55CA" w:tentative="1">
      <w:start w:val="1"/>
      <w:numFmt w:val="bullet"/>
      <w:lvlText w:val="•"/>
      <w:lvlJc w:val="left"/>
      <w:pPr>
        <w:tabs>
          <w:tab w:val="num" w:pos="4320"/>
        </w:tabs>
        <w:ind w:left="4320" w:hanging="360"/>
      </w:pPr>
      <w:rPr>
        <w:rFonts w:ascii="Arial" w:hAnsi="Arial" w:hint="default"/>
      </w:rPr>
    </w:lvl>
    <w:lvl w:ilvl="6" w:tplc="A2065A5E" w:tentative="1">
      <w:start w:val="1"/>
      <w:numFmt w:val="bullet"/>
      <w:lvlText w:val="•"/>
      <w:lvlJc w:val="left"/>
      <w:pPr>
        <w:tabs>
          <w:tab w:val="num" w:pos="5040"/>
        </w:tabs>
        <w:ind w:left="5040" w:hanging="360"/>
      </w:pPr>
      <w:rPr>
        <w:rFonts w:ascii="Arial" w:hAnsi="Arial" w:hint="default"/>
      </w:rPr>
    </w:lvl>
    <w:lvl w:ilvl="7" w:tplc="26AE58B2" w:tentative="1">
      <w:start w:val="1"/>
      <w:numFmt w:val="bullet"/>
      <w:lvlText w:val="•"/>
      <w:lvlJc w:val="left"/>
      <w:pPr>
        <w:tabs>
          <w:tab w:val="num" w:pos="5760"/>
        </w:tabs>
        <w:ind w:left="5760" w:hanging="360"/>
      </w:pPr>
      <w:rPr>
        <w:rFonts w:ascii="Arial" w:hAnsi="Arial" w:hint="default"/>
      </w:rPr>
    </w:lvl>
    <w:lvl w:ilvl="8" w:tplc="306612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9A133F"/>
    <w:multiLevelType w:val="hybridMultilevel"/>
    <w:tmpl w:val="2E526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13691"/>
    <w:multiLevelType w:val="hybridMultilevel"/>
    <w:tmpl w:val="3C96C0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C865EE"/>
    <w:multiLevelType w:val="hybridMultilevel"/>
    <w:tmpl w:val="3E56DB08"/>
    <w:lvl w:ilvl="0" w:tplc="32181274">
      <w:numFmt w:val="bullet"/>
      <w:lvlText w:val="-"/>
      <w:lvlJc w:val="left"/>
      <w:pPr>
        <w:ind w:left="1571" w:hanging="360"/>
      </w:pPr>
      <w:rPr>
        <w:rFonts w:ascii="Times New Roman" w:eastAsia="SimSun" w:hAnsi="Times New Roman" w:cs="Times New Roman"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54DE05C7"/>
    <w:multiLevelType w:val="hybridMultilevel"/>
    <w:tmpl w:val="59E88E6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A41534"/>
    <w:multiLevelType w:val="hybridMultilevel"/>
    <w:tmpl w:val="2050FC30"/>
    <w:lvl w:ilvl="0" w:tplc="8884B760">
      <w:start w:val="1"/>
      <w:numFmt w:val="bullet"/>
      <w:lvlText w:val="•"/>
      <w:lvlJc w:val="left"/>
      <w:pPr>
        <w:tabs>
          <w:tab w:val="num" w:pos="720"/>
        </w:tabs>
        <w:ind w:left="720" w:hanging="360"/>
      </w:pPr>
      <w:rPr>
        <w:rFonts w:ascii="Arial" w:hAnsi="Arial" w:hint="default"/>
      </w:rPr>
    </w:lvl>
    <w:lvl w:ilvl="1" w:tplc="7FB6DCE6">
      <w:start w:val="1"/>
      <w:numFmt w:val="bullet"/>
      <w:lvlText w:val="•"/>
      <w:lvlJc w:val="left"/>
      <w:pPr>
        <w:tabs>
          <w:tab w:val="num" w:pos="1440"/>
        </w:tabs>
        <w:ind w:left="1440" w:hanging="360"/>
      </w:pPr>
      <w:rPr>
        <w:rFonts w:ascii="Arial" w:hAnsi="Arial" w:hint="default"/>
      </w:rPr>
    </w:lvl>
    <w:lvl w:ilvl="2" w:tplc="DCC4FD96" w:tentative="1">
      <w:start w:val="1"/>
      <w:numFmt w:val="bullet"/>
      <w:lvlText w:val="•"/>
      <w:lvlJc w:val="left"/>
      <w:pPr>
        <w:tabs>
          <w:tab w:val="num" w:pos="2160"/>
        </w:tabs>
        <w:ind w:left="2160" w:hanging="360"/>
      </w:pPr>
      <w:rPr>
        <w:rFonts w:ascii="Arial" w:hAnsi="Arial" w:hint="default"/>
      </w:rPr>
    </w:lvl>
    <w:lvl w:ilvl="3" w:tplc="046845C6" w:tentative="1">
      <w:start w:val="1"/>
      <w:numFmt w:val="bullet"/>
      <w:lvlText w:val="•"/>
      <w:lvlJc w:val="left"/>
      <w:pPr>
        <w:tabs>
          <w:tab w:val="num" w:pos="2880"/>
        </w:tabs>
        <w:ind w:left="2880" w:hanging="360"/>
      </w:pPr>
      <w:rPr>
        <w:rFonts w:ascii="Arial" w:hAnsi="Arial" w:hint="default"/>
      </w:rPr>
    </w:lvl>
    <w:lvl w:ilvl="4" w:tplc="4CFCF0D8" w:tentative="1">
      <w:start w:val="1"/>
      <w:numFmt w:val="bullet"/>
      <w:lvlText w:val="•"/>
      <w:lvlJc w:val="left"/>
      <w:pPr>
        <w:tabs>
          <w:tab w:val="num" w:pos="3600"/>
        </w:tabs>
        <w:ind w:left="3600" w:hanging="360"/>
      </w:pPr>
      <w:rPr>
        <w:rFonts w:ascii="Arial" w:hAnsi="Arial" w:hint="default"/>
      </w:rPr>
    </w:lvl>
    <w:lvl w:ilvl="5" w:tplc="1E087026" w:tentative="1">
      <w:start w:val="1"/>
      <w:numFmt w:val="bullet"/>
      <w:lvlText w:val="•"/>
      <w:lvlJc w:val="left"/>
      <w:pPr>
        <w:tabs>
          <w:tab w:val="num" w:pos="4320"/>
        </w:tabs>
        <w:ind w:left="4320" w:hanging="360"/>
      </w:pPr>
      <w:rPr>
        <w:rFonts w:ascii="Arial" w:hAnsi="Arial" w:hint="default"/>
      </w:rPr>
    </w:lvl>
    <w:lvl w:ilvl="6" w:tplc="E440FF30" w:tentative="1">
      <w:start w:val="1"/>
      <w:numFmt w:val="bullet"/>
      <w:lvlText w:val="•"/>
      <w:lvlJc w:val="left"/>
      <w:pPr>
        <w:tabs>
          <w:tab w:val="num" w:pos="5040"/>
        </w:tabs>
        <w:ind w:left="5040" w:hanging="360"/>
      </w:pPr>
      <w:rPr>
        <w:rFonts w:ascii="Arial" w:hAnsi="Arial" w:hint="default"/>
      </w:rPr>
    </w:lvl>
    <w:lvl w:ilvl="7" w:tplc="8D00E20E" w:tentative="1">
      <w:start w:val="1"/>
      <w:numFmt w:val="bullet"/>
      <w:lvlText w:val="•"/>
      <w:lvlJc w:val="left"/>
      <w:pPr>
        <w:tabs>
          <w:tab w:val="num" w:pos="5760"/>
        </w:tabs>
        <w:ind w:left="5760" w:hanging="360"/>
      </w:pPr>
      <w:rPr>
        <w:rFonts w:ascii="Arial" w:hAnsi="Arial" w:hint="default"/>
      </w:rPr>
    </w:lvl>
    <w:lvl w:ilvl="8" w:tplc="F982B2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FE0C0C"/>
    <w:multiLevelType w:val="hybridMultilevel"/>
    <w:tmpl w:val="900223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A23B7"/>
    <w:multiLevelType w:val="hybridMultilevel"/>
    <w:tmpl w:val="A43E50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3B4F7A"/>
    <w:multiLevelType w:val="hybridMultilevel"/>
    <w:tmpl w:val="6AC46BE4"/>
    <w:lvl w:ilvl="0" w:tplc="FFFFFFFF">
      <w:start w:val="1"/>
      <w:numFmt w:val="bullet"/>
      <w:lvlText w:val="•"/>
      <w:lvlJc w:val="left"/>
      <w:pPr>
        <w:tabs>
          <w:tab w:val="num" w:pos="720"/>
        </w:tabs>
        <w:ind w:left="720" w:hanging="360"/>
      </w:pPr>
      <w:rPr>
        <w:rFonts w:ascii="Arial" w:hAnsi="Arial"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4F41C9"/>
    <w:multiLevelType w:val="hybridMultilevel"/>
    <w:tmpl w:val="DB0A97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213432">
    <w:abstractNumId w:val="1"/>
  </w:num>
  <w:num w:numId="2" w16cid:durableId="1953125239">
    <w:abstractNumId w:val="5"/>
  </w:num>
  <w:num w:numId="3" w16cid:durableId="1381247930">
    <w:abstractNumId w:val="8"/>
  </w:num>
  <w:num w:numId="4" w16cid:durableId="598370976">
    <w:abstractNumId w:val="7"/>
  </w:num>
  <w:num w:numId="5" w16cid:durableId="722172705">
    <w:abstractNumId w:val="0"/>
  </w:num>
  <w:num w:numId="6" w16cid:durableId="1167016129">
    <w:abstractNumId w:val="10"/>
  </w:num>
  <w:num w:numId="7" w16cid:durableId="571695645">
    <w:abstractNumId w:val="6"/>
  </w:num>
  <w:num w:numId="8" w16cid:durableId="1932278633">
    <w:abstractNumId w:val="11"/>
  </w:num>
  <w:num w:numId="9" w16cid:durableId="524366990">
    <w:abstractNumId w:val="13"/>
  </w:num>
  <w:num w:numId="10" w16cid:durableId="754471923">
    <w:abstractNumId w:val="4"/>
  </w:num>
  <w:num w:numId="11" w16cid:durableId="1304892821">
    <w:abstractNumId w:val="12"/>
  </w:num>
  <w:num w:numId="12" w16cid:durableId="49349815">
    <w:abstractNumId w:val="2"/>
  </w:num>
  <w:num w:numId="13" w16cid:durableId="32115288">
    <w:abstractNumId w:val="9"/>
  </w:num>
  <w:num w:numId="14" w16cid:durableId="1851869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4D"/>
    <w:rsid w:val="00032E7A"/>
    <w:rsid w:val="0008024D"/>
    <w:rsid w:val="00107B05"/>
    <w:rsid w:val="001375C9"/>
    <w:rsid w:val="00160DC9"/>
    <w:rsid w:val="0018324F"/>
    <w:rsid w:val="0018500A"/>
    <w:rsid w:val="001852DB"/>
    <w:rsid w:val="00193719"/>
    <w:rsid w:val="00195462"/>
    <w:rsid w:val="00372EF4"/>
    <w:rsid w:val="003943AA"/>
    <w:rsid w:val="00442EF6"/>
    <w:rsid w:val="004B1554"/>
    <w:rsid w:val="004B455C"/>
    <w:rsid w:val="004E3CFB"/>
    <w:rsid w:val="004E46AA"/>
    <w:rsid w:val="00507871"/>
    <w:rsid w:val="005215F1"/>
    <w:rsid w:val="005625BF"/>
    <w:rsid w:val="0058313B"/>
    <w:rsid w:val="005F582A"/>
    <w:rsid w:val="007239F6"/>
    <w:rsid w:val="00740C4D"/>
    <w:rsid w:val="007B6AC6"/>
    <w:rsid w:val="007E1F46"/>
    <w:rsid w:val="007E702F"/>
    <w:rsid w:val="007F4047"/>
    <w:rsid w:val="00846972"/>
    <w:rsid w:val="008746BF"/>
    <w:rsid w:val="008805A4"/>
    <w:rsid w:val="0090212C"/>
    <w:rsid w:val="00965374"/>
    <w:rsid w:val="00994525"/>
    <w:rsid w:val="009D1C67"/>
    <w:rsid w:val="009D54BA"/>
    <w:rsid w:val="00A04AF6"/>
    <w:rsid w:val="00A415A0"/>
    <w:rsid w:val="00A76FC9"/>
    <w:rsid w:val="00AB5E6A"/>
    <w:rsid w:val="00B03CE0"/>
    <w:rsid w:val="00B21AFD"/>
    <w:rsid w:val="00C2543C"/>
    <w:rsid w:val="00CB0891"/>
    <w:rsid w:val="00D32292"/>
    <w:rsid w:val="00D85C3F"/>
    <w:rsid w:val="00EB631B"/>
    <w:rsid w:val="00ED283E"/>
    <w:rsid w:val="00ED4669"/>
    <w:rsid w:val="00F06869"/>
    <w:rsid w:val="00F07E40"/>
    <w:rsid w:val="00F15836"/>
    <w:rsid w:val="00F35CC5"/>
    <w:rsid w:val="00F461E9"/>
    <w:rsid w:val="00F9362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1075"/>
  <w15:chartTrackingRefBased/>
  <w15:docId w15:val="{7E9C5681-3CFE-1042-B821-5D995ED9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719"/>
    <w:pPr>
      <w:ind w:left="720"/>
      <w:contextualSpacing/>
    </w:pPr>
  </w:style>
  <w:style w:type="paragraph" w:styleId="NormalWeb">
    <w:name w:val="Normal (Web)"/>
    <w:basedOn w:val="Normal"/>
    <w:uiPriority w:val="99"/>
    <w:semiHidden/>
    <w:unhideWhenUsed/>
    <w:rsid w:val="00AB5E6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3581">
      <w:bodyDiv w:val="1"/>
      <w:marLeft w:val="0"/>
      <w:marRight w:val="0"/>
      <w:marTop w:val="0"/>
      <w:marBottom w:val="0"/>
      <w:divBdr>
        <w:top w:val="none" w:sz="0" w:space="0" w:color="auto"/>
        <w:left w:val="none" w:sz="0" w:space="0" w:color="auto"/>
        <w:bottom w:val="none" w:sz="0" w:space="0" w:color="auto"/>
        <w:right w:val="none" w:sz="0" w:space="0" w:color="auto"/>
      </w:divBdr>
    </w:div>
    <w:div w:id="163280896">
      <w:bodyDiv w:val="1"/>
      <w:marLeft w:val="0"/>
      <w:marRight w:val="0"/>
      <w:marTop w:val="0"/>
      <w:marBottom w:val="0"/>
      <w:divBdr>
        <w:top w:val="none" w:sz="0" w:space="0" w:color="auto"/>
        <w:left w:val="none" w:sz="0" w:space="0" w:color="auto"/>
        <w:bottom w:val="none" w:sz="0" w:space="0" w:color="auto"/>
        <w:right w:val="none" w:sz="0" w:space="0" w:color="auto"/>
      </w:divBdr>
      <w:divsChild>
        <w:div w:id="730926610">
          <w:marLeft w:val="1080"/>
          <w:marRight w:val="0"/>
          <w:marTop w:val="100"/>
          <w:marBottom w:val="0"/>
          <w:divBdr>
            <w:top w:val="none" w:sz="0" w:space="0" w:color="auto"/>
            <w:left w:val="none" w:sz="0" w:space="0" w:color="auto"/>
            <w:bottom w:val="none" w:sz="0" w:space="0" w:color="auto"/>
            <w:right w:val="none" w:sz="0" w:space="0" w:color="auto"/>
          </w:divBdr>
        </w:div>
        <w:div w:id="543905786">
          <w:marLeft w:val="1080"/>
          <w:marRight w:val="0"/>
          <w:marTop w:val="100"/>
          <w:marBottom w:val="0"/>
          <w:divBdr>
            <w:top w:val="none" w:sz="0" w:space="0" w:color="auto"/>
            <w:left w:val="none" w:sz="0" w:space="0" w:color="auto"/>
            <w:bottom w:val="none" w:sz="0" w:space="0" w:color="auto"/>
            <w:right w:val="none" w:sz="0" w:space="0" w:color="auto"/>
          </w:divBdr>
        </w:div>
        <w:div w:id="1385372161">
          <w:marLeft w:val="1080"/>
          <w:marRight w:val="0"/>
          <w:marTop w:val="100"/>
          <w:marBottom w:val="0"/>
          <w:divBdr>
            <w:top w:val="none" w:sz="0" w:space="0" w:color="auto"/>
            <w:left w:val="none" w:sz="0" w:space="0" w:color="auto"/>
            <w:bottom w:val="none" w:sz="0" w:space="0" w:color="auto"/>
            <w:right w:val="none" w:sz="0" w:space="0" w:color="auto"/>
          </w:divBdr>
        </w:div>
        <w:div w:id="1042941558">
          <w:marLeft w:val="1080"/>
          <w:marRight w:val="0"/>
          <w:marTop w:val="100"/>
          <w:marBottom w:val="0"/>
          <w:divBdr>
            <w:top w:val="none" w:sz="0" w:space="0" w:color="auto"/>
            <w:left w:val="none" w:sz="0" w:space="0" w:color="auto"/>
            <w:bottom w:val="none" w:sz="0" w:space="0" w:color="auto"/>
            <w:right w:val="none" w:sz="0" w:space="0" w:color="auto"/>
          </w:divBdr>
        </w:div>
        <w:div w:id="816384031">
          <w:marLeft w:val="1080"/>
          <w:marRight w:val="0"/>
          <w:marTop w:val="100"/>
          <w:marBottom w:val="0"/>
          <w:divBdr>
            <w:top w:val="none" w:sz="0" w:space="0" w:color="auto"/>
            <w:left w:val="none" w:sz="0" w:space="0" w:color="auto"/>
            <w:bottom w:val="none" w:sz="0" w:space="0" w:color="auto"/>
            <w:right w:val="none" w:sz="0" w:space="0" w:color="auto"/>
          </w:divBdr>
        </w:div>
      </w:divsChild>
    </w:div>
    <w:div w:id="300380160">
      <w:bodyDiv w:val="1"/>
      <w:marLeft w:val="0"/>
      <w:marRight w:val="0"/>
      <w:marTop w:val="0"/>
      <w:marBottom w:val="0"/>
      <w:divBdr>
        <w:top w:val="none" w:sz="0" w:space="0" w:color="auto"/>
        <w:left w:val="none" w:sz="0" w:space="0" w:color="auto"/>
        <w:bottom w:val="none" w:sz="0" w:space="0" w:color="auto"/>
        <w:right w:val="none" w:sz="0" w:space="0" w:color="auto"/>
      </w:divBdr>
      <w:divsChild>
        <w:div w:id="792292106">
          <w:marLeft w:val="1080"/>
          <w:marRight w:val="0"/>
          <w:marTop w:val="100"/>
          <w:marBottom w:val="0"/>
          <w:divBdr>
            <w:top w:val="none" w:sz="0" w:space="0" w:color="auto"/>
            <w:left w:val="none" w:sz="0" w:space="0" w:color="auto"/>
            <w:bottom w:val="none" w:sz="0" w:space="0" w:color="auto"/>
            <w:right w:val="none" w:sz="0" w:space="0" w:color="auto"/>
          </w:divBdr>
        </w:div>
      </w:divsChild>
    </w:div>
    <w:div w:id="516969234">
      <w:bodyDiv w:val="1"/>
      <w:marLeft w:val="0"/>
      <w:marRight w:val="0"/>
      <w:marTop w:val="0"/>
      <w:marBottom w:val="0"/>
      <w:divBdr>
        <w:top w:val="none" w:sz="0" w:space="0" w:color="auto"/>
        <w:left w:val="none" w:sz="0" w:space="0" w:color="auto"/>
        <w:bottom w:val="none" w:sz="0" w:space="0" w:color="auto"/>
        <w:right w:val="none" w:sz="0" w:space="0" w:color="auto"/>
      </w:divBdr>
      <w:divsChild>
        <w:div w:id="1068070607">
          <w:marLeft w:val="360"/>
          <w:marRight w:val="0"/>
          <w:marTop w:val="200"/>
          <w:marBottom w:val="0"/>
          <w:divBdr>
            <w:top w:val="none" w:sz="0" w:space="0" w:color="auto"/>
            <w:left w:val="none" w:sz="0" w:space="0" w:color="auto"/>
            <w:bottom w:val="none" w:sz="0" w:space="0" w:color="auto"/>
            <w:right w:val="none" w:sz="0" w:space="0" w:color="auto"/>
          </w:divBdr>
        </w:div>
      </w:divsChild>
    </w:div>
    <w:div w:id="528106780">
      <w:bodyDiv w:val="1"/>
      <w:marLeft w:val="0"/>
      <w:marRight w:val="0"/>
      <w:marTop w:val="0"/>
      <w:marBottom w:val="0"/>
      <w:divBdr>
        <w:top w:val="none" w:sz="0" w:space="0" w:color="auto"/>
        <w:left w:val="none" w:sz="0" w:space="0" w:color="auto"/>
        <w:bottom w:val="none" w:sz="0" w:space="0" w:color="auto"/>
        <w:right w:val="none" w:sz="0" w:space="0" w:color="auto"/>
      </w:divBdr>
    </w:div>
    <w:div w:id="609288826">
      <w:bodyDiv w:val="1"/>
      <w:marLeft w:val="0"/>
      <w:marRight w:val="0"/>
      <w:marTop w:val="0"/>
      <w:marBottom w:val="0"/>
      <w:divBdr>
        <w:top w:val="none" w:sz="0" w:space="0" w:color="auto"/>
        <w:left w:val="none" w:sz="0" w:space="0" w:color="auto"/>
        <w:bottom w:val="none" w:sz="0" w:space="0" w:color="auto"/>
        <w:right w:val="none" w:sz="0" w:space="0" w:color="auto"/>
      </w:divBdr>
      <w:divsChild>
        <w:div w:id="1882134727">
          <w:marLeft w:val="0"/>
          <w:marRight w:val="0"/>
          <w:marTop w:val="0"/>
          <w:marBottom w:val="0"/>
          <w:divBdr>
            <w:top w:val="none" w:sz="0" w:space="0" w:color="auto"/>
            <w:left w:val="none" w:sz="0" w:space="0" w:color="auto"/>
            <w:bottom w:val="none" w:sz="0" w:space="0" w:color="auto"/>
            <w:right w:val="none" w:sz="0" w:space="0" w:color="auto"/>
          </w:divBdr>
          <w:divsChild>
            <w:div w:id="1636138286">
              <w:marLeft w:val="0"/>
              <w:marRight w:val="0"/>
              <w:marTop w:val="0"/>
              <w:marBottom w:val="0"/>
              <w:divBdr>
                <w:top w:val="none" w:sz="0" w:space="0" w:color="auto"/>
                <w:left w:val="none" w:sz="0" w:space="0" w:color="auto"/>
                <w:bottom w:val="none" w:sz="0" w:space="0" w:color="auto"/>
                <w:right w:val="none" w:sz="0" w:space="0" w:color="auto"/>
              </w:divBdr>
              <w:divsChild>
                <w:div w:id="13697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7825">
      <w:bodyDiv w:val="1"/>
      <w:marLeft w:val="0"/>
      <w:marRight w:val="0"/>
      <w:marTop w:val="0"/>
      <w:marBottom w:val="0"/>
      <w:divBdr>
        <w:top w:val="none" w:sz="0" w:space="0" w:color="auto"/>
        <w:left w:val="none" w:sz="0" w:space="0" w:color="auto"/>
        <w:bottom w:val="none" w:sz="0" w:space="0" w:color="auto"/>
        <w:right w:val="none" w:sz="0" w:space="0" w:color="auto"/>
      </w:divBdr>
    </w:div>
    <w:div w:id="637684119">
      <w:bodyDiv w:val="1"/>
      <w:marLeft w:val="0"/>
      <w:marRight w:val="0"/>
      <w:marTop w:val="0"/>
      <w:marBottom w:val="0"/>
      <w:divBdr>
        <w:top w:val="none" w:sz="0" w:space="0" w:color="auto"/>
        <w:left w:val="none" w:sz="0" w:space="0" w:color="auto"/>
        <w:bottom w:val="none" w:sz="0" w:space="0" w:color="auto"/>
        <w:right w:val="none" w:sz="0" w:space="0" w:color="auto"/>
      </w:divBdr>
      <w:divsChild>
        <w:div w:id="2132429721">
          <w:marLeft w:val="360"/>
          <w:marRight w:val="0"/>
          <w:marTop w:val="200"/>
          <w:marBottom w:val="0"/>
          <w:divBdr>
            <w:top w:val="none" w:sz="0" w:space="0" w:color="auto"/>
            <w:left w:val="none" w:sz="0" w:space="0" w:color="auto"/>
            <w:bottom w:val="none" w:sz="0" w:space="0" w:color="auto"/>
            <w:right w:val="none" w:sz="0" w:space="0" w:color="auto"/>
          </w:divBdr>
        </w:div>
        <w:div w:id="1482691981">
          <w:marLeft w:val="360"/>
          <w:marRight w:val="0"/>
          <w:marTop w:val="200"/>
          <w:marBottom w:val="0"/>
          <w:divBdr>
            <w:top w:val="none" w:sz="0" w:space="0" w:color="auto"/>
            <w:left w:val="none" w:sz="0" w:space="0" w:color="auto"/>
            <w:bottom w:val="none" w:sz="0" w:space="0" w:color="auto"/>
            <w:right w:val="none" w:sz="0" w:space="0" w:color="auto"/>
          </w:divBdr>
        </w:div>
        <w:div w:id="1974212437">
          <w:marLeft w:val="360"/>
          <w:marRight w:val="0"/>
          <w:marTop w:val="200"/>
          <w:marBottom w:val="0"/>
          <w:divBdr>
            <w:top w:val="none" w:sz="0" w:space="0" w:color="auto"/>
            <w:left w:val="none" w:sz="0" w:space="0" w:color="auto"/>
            <w:bottom w:val="none" w:sz="0" w:space="0" w:color="auto"/>
            <w:right w:val="none" w:sz="0" w:space="0" w:color="auto"/>
          </w:divBdr>
        </w:div>
      </w:divsChild>
    </w:div>
    <w:div w:id="660886313">
      <w:bodyDiv w:val="1"/>
      <w:marLeft w:val="0"/>
      <w:marRight w:val="0"/>
      <w:marTop w:val="0"/>
      <w:marBottom w:val="0"/>
      <w:divBdr>
        <w:top w:val="none" w:sz="0" w:space="0" w:color="auto"/>
        <w:left w:val="none" w:sz="0" w:space="0" w:color="auto"/>
        <w:bottom w:val="none" w:sz="0" w:space="0" w:color="auto"/>
        <w:right w:val="none" w:sz="0" w:space="0" w:color="auto"/>
      </w:divBdr>
      <w:divsChild>
        <w:div w:id="1362585118">
          <w:marLeft w:val="0"/>
          <w:marRight w:val="0"/>
          <w:marTop w:val="0"/>
          <w:marBottom w:val="0"/>
          <w:divBdr>
            <w:top w:val="none" w:sz="0" w:space="0" w:color="auto"/>
            <w:left w:val="none" w:sz="0" w:space="0" w:color="auto"/>
            <w:bottom w:val="none" w:sz="0" w:space="0" w:color="auto"/>
            <w:right w:val="none" w:sz="0" w:space="0" w:color="auto"/>
          </w:divBdr>
          <w:divsChild>
            <w:div w:id="2073308762">
              <w:marLeft w:val="0"/>
              <w:marRight w:val="0"/>
              <w:marTop w:val="0"/>
              <w:marBottom w:val="0"/>
              <w:divBdr>
                <w:top w:val="none" w:sz="0" w:space="0" w:color="auto"/>
                <w:left w:val="none" w:sz="0" w:space="0" w:color="auto"/>
                <w:bottom w:val="none" w:sz="0" w:space="0" w:color="auto"/>
                <w:right w:val="none" w:sz="0" w:space="0" w:color="auto"/>
              </w:divBdr>
              <w:divsChild>
                <w:div w:id="1825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48623">
      <w:bodyDiv w:val="1"/>
      <w:marLeft w:val="0"/>
      <w:marRight w:val="0"/>
      <w:marTop w:val="0"/>
      <w:marBottom w:val="0"/>
      <w:divBdr>
        <w:top w:val="none" w:sz="0" w:space="0" w:color="auto"/>
        <w:left w:val="none" w:sz="0" w:space="0" w:color="auto"/>
        <w:bottom w:val="none" w:sz="0" w:space="0" w:color="auto"/>
        <w:right w:val="none" w:sz="0" w:space="0" w:color="auto"/>
      </w:divBdr>
      <w:divsChild>
        <w:div w:id="263849113">
          <w:marLeft w:val="360"/>
          <w:marRight w:val="0"/>
          <w:marTop w:val="200"/>
          <w:marBottom w:val="0"/>
          <w:divBdr>
            <w:top w:val="none" w:sz="0" w:space="0" w:color="auto"/>
            <w:left w:val="none" w:sz="0" w:space="0" w:color="auto"/>
            <w:bottom w:val="none" w:sz="0" w:space="0" w:color="auto"/>
            <w:right w:val="none" w:sz="0" w:space="0" w:color="auto"/>
          </w:divBdr>
        </w:div>
        <w:div w:id="1234849376">
          <w:marLeft w:val="360"/>
          <w:marRight w:val="0"/>
          <w:marTop w:val="200"/>
          <w:marBottom w:val="0"/>
          <w:divBdr>
            <w:top w:val="none" w:sz="0" w:space="0" w:color="auto"/>
            <w:left w:val="none" w:sz="0" w:space="0" w:color="auto"/>
            <w:bottom w:val="none" w:sz="0" w:space="0" w:color="auto"/>
            <w:right w:val="none" w:sz="0" w:space="0" w:color="auto"/>
          </w:divBdr>
        </w:div>
        <w:div w:id="162668964">
          <w:marLeft w:val="360"/>
          <w:marRight w:val="0"/>
          <w:marTop w:val="200"/>
          <w:marBottom w:val="0"/>
          <w:divBdr>
            <w:top w:val="none" w:sz="0" w:space="0" w:color="auto"/>
            <w:left w:val="none" w:sz="0" w:space="0" w:color="auto"/>
            <w:bottom w:val="none" w:sz="0" w:space="0" w:color="auto"/>
            <w:right w:val="none" w:sz="0" w:space="0" w:color="auto"/>
          </w:divBdr>
        </w:div>
      </w:divsChild>
    </w:div>
    <w:div w:id="812909186">
      <w:bodyDiv w:val="1"/>
      <w:marLeft w:val="0"/>
      <w:marRight w:val="0"/>
      <w:marTop w:val="0"/>
      <w:marBottom w:val="0"/>
      <w:divBdr>
        <w:top w:val="none" w:sz="0" w:space="0" w:color="auto"/>
        <w:left w:val="none" w:sz="0" w:space="0" w:color="auto"/>
        <w:bottom w:val="none" w:sz="0" w:space="0" w:color="auto"/>
        <w:right w:val="none" w:sz="0" w:space="0" w:color="auto"/>
      </w:divBdr>
      <w:divsChild>
        <w:div w:id="1083839601">
          <w:marLeft w:val="0"/>
          <w:marRight w:val="0"/>
          <w:marTop w:val="0"/>
          <w:marBottom w:val="0"/>
          <w:divBdr>
            <w:top w:val="none" w:sz="0" w:space="0" w:color="auto"/>
            <w:left w:val="none" w:sz="0" w:space="0" w:color="auto"/>
            <w:bottom w:val="none" w:sz="0" w:space="0" w:color="auto"/>
            <w:right w:val="none" w:sz="0" w:space="0" w:color="auto"/>
          </w:divBdr>
          <w:divsChild>
            <w:div w:id="483085155">
              <w:marLeft w:val="0"/>
              <w:marRight w:val="0"/>
              <w:marTop w:val="0"/>
              <w:marBottom w:val="0"/>
              <w:divBdr>
                <w:top w:val="none" w:sz="0" w:space="0" w:color="auto"/>
                <w:left w:val="none" w:sz="0" w:space="0" w:color="auto"/>
                <w:bottom w:val="none" w:sz="0" w:space="0" w:color="auto"/>
                <w:right w:val="none" w:sz="0" w:space="0" w:color="auto"/>
              </w:divBdr>
              <w:divsChild>
                <w:div w:id="13473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7077">
      <w:bodyDiv w:val="1"/>
      <w:marLeft w:val="0"/>
      <w:marRight w:val="0"/>
      <w:marTop w:val="0"/>
      <w:marBottom w:val="0"/>
      <w:divBdr>
        <w:top w:val="none" w:sz="0" w:space="0" w:color="auto"/>
        <w:left w:val="none" w:sz="0" w:space="0" w:color="auto"/>
        <w:bottom w:val="none" w:sz="0" w:space="0" w:color="auto"/>
        <w:right w:val="none" w:sz="0" w:space="0" w:color="auto"/>
      </w:divBdr>
    </w:div>
    <w:div w:id="1029911611">
      <w:bodyDiv w:val="1"/>
      <w:marLeft w:val="0"/>
      <w:marRight w:val="0"/>
      <w:marTop w:val="0"/>
      <w:marBottom w:val="0"/>
      <w:divBdr>
        <w:top w:val="none" w:sz="0" w:space="0" w:color="auto"/>
        <w:left w:val="none" w:sz="0" w:space="0" w:color="auto"/>
        <w:bottom w:val="none" w:sz="0" w:space="0" w:color="auto"/>
        <w:right w:val="none" w:sz="0" w:space="0" w:color="auto"/>
      </w:divBdr>
      <w:divsChild>
        <w:div w:id="631059888">
          <w:marLeft w:val="1080"/>
          <w:marRight w:val="0"/>
          <w:marTop w:val="100"/>
          <w:marBottom w:val="0"/>
          <w:divBdr>
            <w:top w:val="none" w:sz="0" w:space="0" w:color="auto"/>
            <w:left w:val="none" w:sz="0" w:space="0" w:color="auto"/>
            <w:bottom w:val="none" w:sz="0" w:space="0" w:color="auto"/>
            <w:right w:val="none" w:sz="0" w:space="0" w:color="auto"/>
          </w:divBdr>
        </w:div>
      </w:divsChild>
    </w:div>
    <w:div w:id="1065638391">
      <w:bodyDiv w:val="1"/>
      <w:marLeft w:val="0"/>
      <w:marRight w:val="0"/>
      <w:marTop w:val="0"/>
      <w:marBottom w:val="0"/>
      <w:divBdr>
        <w:top w:val="none" w:sz="0" w:space="0" w:color="auto"/>
        <w:left w:val="none" w:sz="0" w:space="0" w:color="auto"/>
        <w:bottom w:val="none" w:sz="0" w:space="0" w:color="auto"/>
        <w:right w:val="none" w:sz="0" w:space="0" w:color="auto"/>
      </w:divBdr>
      <w:divsChild>
        <w:div w:id="626199126">
          <w:marLeft w:val="360"/>
          <w:marRight w:val="0"/>
          <w:marTop w:val="200"/>
          <w:marBottom w:val="0"/>
          <w:divBdr>
            <w:top w:val="none" w:sz="0" w:space="0" w:color="auto"/>
            <w:left w:val="none" w:sz="0" w:space="0" w:color="auto"/>
            <w:bottom w:val="none" w:sz="0" w:space="0" w:color="auto"/>
            <w:right w:val="none" w:sz="0" w:space="0" w:color="auto"/>
          </w:divBdr>
        </w:div>
        <w:div w:id="1406534188">
          <w:marLeft w:val="360"/>
          <w:marRight w:val="0"/>
          <w:marTop w:val="200"/>
          <w:marBottom w:val="0"/>
          <w:divBdr>
            <w:top w:val="none" w:sz="0" w:space="0" w:color="auto"/>
            <w:left w:val="none" w:sz="0" w:space="0" w:color="auto"/>
            <w:bottom w:val="none" w:sz="0" w:space="0" w:color="auto"/>
            <w:right w:val="none" w:sz="0" w:space="0" w:color="auto"/>
          </w:divBdr>
        </w:div>
        <w:div w:id="1559441216">
          <w:marLeft w:val="360"/>
          <w:marRight w:val="0"/>
          <w:marTop w:val="200"/>
          <w:marBottom w:val="0"/>
          <w:divBdr>
            <w:top w:val="none" w:sz="0" w:space="0" w:color="auto"/>
            <w:left w:val="none" w:sz="0" w:space="0" w:color="auto"/>
            <w:bottom w:val="none" w:sz="0" w:space="0" w:color="auto"/>
            <w:right w:val="none" w:sz="0" w:space="0" w:color="auto"/>
          </w:divBdr>
        </w:div>
      </w:divsChild>
    </w:div>
    <w:div w:id="1075393799">
      <w:bodyDiv w:val="1"/>
      <w:marLeft w:val="0"/>
      <w:marRight w:val="0"/>
      <w:marTop w:val="0"/>
      <w:marBottom w:val="0"/>
      <w:divBdr>
        <w:top w:val="none" w:sz="0" w:space="0" w:color="auto"/>
        <w:left w:val="none" w:sz="0" w:space="0" w:color="auto"/>
        <w:bottom w:val="none" w:sz="0" w:space="0" w:color="auto"/>
        <w:right w:val="none" w:sz="0" w:space="0" w:color="auto"/>
      </w:divBdr>
    </w:div>
    <w:div w:id="1101221353">
      <w:bodyDiv w:val="1"/>
      <w:marLeft w:val="0"/>
      <w:marRight w:val="0"/>
      <w:marTop w:val="0"/>
      <w:marBottom w:val="0"/>
      <w:divBdr>
        <w:top w:val="none" w:sz="0" w:space="0" w:color="auto"/>
        <w:left w:val="none" w:sz="0" w:space="0" w:color="auto"/>
        <w:bottom w:val="none" w:sz="0" w:space="0" w:color="auto"/>
        <w:right w:val="none" w:sz="0" w:space="0" w:color="auto"/>
      </w:divBdr>
      <w:divsChild>
        <w:div w:id="1281841254">
          <w:marLeft w:val="1080"/>
          <w:marRight w:val="0"/>
          <w:marTop w:val="100"/>
          <w:marBottom w:val="0"/>
          <w:divBdr>
            <w:top w:val="none" w:sz="0" w:space="0" w:color="auto"/>
            <w:left w:val="none" w:sz="0" w:space="0" w:color="auto"/>
            <w:bottom w:val="none" w:sz="0" w:space="0" w:color="auto"/>
            <w:right w:val="none" w:sz="0" w:space="0" w:color="auto"/>
          </w:divBdr>
        </w:div>
        <w:div w:id="861669472">
          <w:marLeft w:val="1080"/>
          <w:marRight w:val="0"/>
          <w:marTop w:val="100"/>
          <w:marBottom w:val="0"/>
          <w:divBdr>
            <w:top w:val="none" w:sz="0" w:space="0" w:color="auto"/>
            <w:left w:val="none" w:sz="0" w:space="0" w:color="auto"/>
            <w:bottom w:val="none" w:sz="0" w:space="0" w:color="auto"/>
            <w:right w:val="none" w:sz="0" w:space="0" w:color="auto"/>
          </w:divBdr>
        </w:div>
        <w:div w:id="1233615652">
          <w:marLeft w:val="1080"/>
          <w:marRight w:val="0"/>
          <w:marTop w:val="100"/>
          <w:marBottom w:val="0"/>
          <w:divBdr>
            <w:top w:val="none" w:sz="0" w:space="0" w:color="auto"/>
            <w:left w:val="none" w:sz="0" w:space="0" w:color="auto"/>
            <w:bottom w:val="none" w:sz="0" w:space="0" w:color="auto"/>
            <w:right w:val="none" w:sz="0" w:space="0" w:color="auto"/>
          </w:divBdr>
        </w:div>
        <w:div w:id="1909919264">
          <w:marLeft w:val="1080"/>
          <w:marRight w:val="0"/>
          <w:marTop w:val="100"/>
          <w:marBottom w:val="0"/>
          <w:divBdr>
            <w:top w:val="none" w:sz="0" w:space="0" w:color="auto"/>
            <w:left w:val="none" w:sz="0" w:space="0" w:color="auto"/>
            <w:bottom w:val="none" w:sz="0" w:space="0" w:color="auto"/>
            <w:right w:val="none" w:sz="0" w:space="0" w:color="auto"/>
          </w:divBdr>
        </w:div>
        <w:div w:id="942231129">
          <w:marLeft w:val="1080"/>
          <w:marRight w:val="0"/>
          <w:marTop w:val="100"/>
          <w:marBottom w:val="0"/>
          <w:divBdr>
            <w:top w:val="none" w:sz="0" w:space="0" w:color="auto"/>
            <w:left w:val="none" w:sz="0" w:space="0" w:color="auto"/>
            <w:bottom w:val="none" w:sz="0" w:space="0" w:color="auto"/>
            <w:right w:val="none" w:sz="0" w:space="0" w:color="auto"/>
          </w:divBdr>
        </w:div>
      </w:divsChild>
    </w:div>
    <w:div w:id="1140416974">
      <w:bodyDiv w:val="1"/>
      <w:marLeft w:val="0"/>
      <w:marRight w:val="0"/>
      <w:marTop w:val="0"/>
      <w:marBottom w:val="0"/>
      <w:divBdr>
        <w:top w:val="none" w:sz="0" w:space="0" w:color="auto"/>
        <w:left w:val="none" w:sz="0" w:space="0" w:color="auto"/>
        <w:bottom w:val="none" w:sz="0" w:space="0" w:color="auto"/>
        <w:right w:val="none" w:sz="0" w:space="0" w:color="auto"/>
      </w:divBdr>
      <w:divsChild>
        <w:div w:id="1737314238">
          <w:marLeft w:val="360"/>
          <w:marRight w:val="0"/>
          <w:marTop w:val="200"/>
          <w:marBottom w:val="0"/>
          <w:divBdr>
            <w:top w:val="none" w:sz="0" w:space="0" w:color="auto"/>
            <w:left w:val="none" w:sz="0" w:space="0" w:color="auto"/>
            <w:bottom w:val="none" w:sz="0" w:space="0" w:color="auto"/>
            <w:right w:val="none" w:sz="0" w:space="0" w:color="auto"/>
          </w:divBdr>
        </w:div>
      </w:divsChild>
    </w:div>
    <w:div w:id="1141459507">
      <w:bodyDiv w:val="1"/>
      <w:marLeft w:val="0"/>
      <w:marRight w:val="0"/>
      <w:marTop w:val="0"/>
      <w:marBottom w:val="0"/>
      <w:divBdr>
        <w:top w:val="none" w:sz="0" w:space="0" w:color="auto"/>
        <w:left w:val="none" w:sz="0" w:space="0" w:color="auto"/>
        <w:bottom w:val="none" w:sz="0" w:space="0" w:color="auto"/>
        <w:right w:val="none" w:sz="0" w:space="0" w:color="auto"/>
      </w:divBdr>
      <w:divsChild>
        <w:div w:id="150565387">
          <w:marLeft w:val="547"/>
          <w:marRight w:val="0"/>
          <w:marTop w:val="0"/>
          <w:marBottom w:val="0"/>
          <w:divBdr>
            <w:top w:val="none" w:sz="0" w:space="0" w:color="auto"/>
            <w:left w:val="none" w:sz="0" w:space="0" w:color="auto"/>
            <w:bottom w:val="none" w:sz="0" w:space="0" w:color="auto"/>
            <w:right w:val="none" w:sz="0" w:space="0" w:color="auto"/>
          </w:divBdr>
        </w:div>
      </w:divsChild>
    </w:div>
    <w:div w:id="1154029002">
      <w:bodyDiv w:val="1"/>
      <w:marLeft w:val="0"/>
      <w:marRight w:val="0"/>
      <w:marTop w:val="0"/>
      <w:marBottom w:val="0"/>
      <w:divBdr>
        <w:top w:val="none" w:sz="0" w:space="0" w:color="auto"/>
        <w:left w:val="none" w:sz="0" w:space="0" w:color="auto"/>
        <w:bottom w:val="none" w:sz="0" w:space="0" w:color="auto"/>
        <w:right w:val="none" w:sz="0" w:space="0" w:color="auto"/>
      </w:divBdr>
      <w:divsChild>
        <w:div w:id="1796362107">
          <w:marLeft w:val="0"/>
          <w:marRight w:val="0"/>
          <w:marTop w:val="0"/>
          <w:marBottom w:val="0"/>
          <w:divBdr>
            <w:top w:val="none" w:sz="0" w:space="0" w:color="auto"/>
            <w:left w:val="none" w:sz="0" w:space="0" w:color="auto"/>
            <w:bottom w:val="none" w:sz="0" w:space="0" w:color="auto"/>
            <w:right w:val="none" w:sz="0" w:space="0" w:color="auto"/>
          </w:divBdr>
          <w:divsChild>
            <w:div w:id="533274746">
              <w:marLeft w:val="0"/>
              <w:marRight w:val="0"/>
              <w:marTop w:val="0"/>
              <w:marBottom w:val="0"/>
              <w:divBdr>
                <w:top w:val="none" w:sz="0" w:space="0" w:color="auto"/>
                <w:left w:val="none" w:sz="0" w:space="0" w:color="auto"/>
                <w:bottom w:val="none" w:sz="0" w:space="0" w:color="auto"/>
                <w:right w:val="none" w:sz="0" w:space="0" w:color="auto"/>
              </w:divBdr>
              <w:divsChild>
                <w:div w:id="11086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23992">
      <w:bodyDiv w:val="1"/>
      <w:marLeft w:val="0"/>
      <w:marRight w:val="0"/>
      <w:marTop w:val="0"/>
      <w:marBottom w:val="0"/>
      <w:divBdr>
        <w:top w:val="none" w:sz="0" w:space="0" w:color="auto"/>
        <w:left w:val="none" w:sz="0" w:space="0" w:color="auto"/>
        <w:bottom w:val="none" w:sz="0" w:space="0" w:color="auto"/>
        <w:right w:val="none" w:sz="0" w:space="0" w:color="auto"/>
      </w:divBdr>
      <w:divsChild>
        <w:div w:id="1425682263">
          <w:marLeft w:val="360"/>
          <w:marRight w:val="0"/>
          <w:marTop w:val="200"/>
          <w:marBottom w:val="0"/>
          <w:divBdr>
            <w:top w:val="none" w:sz="0" w:space="0" w:color="auto"/>
            <w:left w:val="none" w:sz="0" w:space="0" w:color="auto"/>
            <w:bottom w:val="none" w:sz="0" w:space="0" w:color="auto"/>
            <w:right w:val="none" w:sz="0" w:space="0" w:color="auto"/>
          </w:divBdr>
        </w:div>
        <w:div w:id="1627807255">
          <w:marLeft w:val="360"/>
          <w:marRight w:val="0"/>
          <w:marTop w:val="200"/>
          <w:marBottom w:val="0"/>
          <w:divBdr>
            <w:top w:val="none" w:sz="0" w:space="0" w:color="auto"/>
            <w:left w:val="none" w:sz="0" w:space="0" w:color="auto"/>
            <w:bottom w:val="none" w:sz="0" w:space="0" w:color="auto"/>
            <w:right w:val="none" w:sz="0" w:space="0" w:color="auto"/>
          </w:divBdr>
        </w:div>
        <w:div w:id="367293200">
          <w:marLeft w:val="360"/>
          <w:marRight w:val="0"/>
          <w:marTop w:val="200"/>
          <w:marBottom w:val="0"/>
          <w:divBdr>
            <w:top w:val="none" w:sz="0" w:space="0" w:color="auto"/>
            <w:left w:val="none" w:sz="0" w:space="0" w:color="auto"/>
            <w:bottom w:val="none" w:sz="0" w:space="0" w:color="auto"/>
            <w:right w:val="none" w:sz="0" w:space="0" w:color="auto"/>
          </w:divBdr>
        </w:div>
      </w:divsChild>
    </w:div>
    <w:div w:id="1610699118">
      <w:bodyDiv w:val="1"/>
      <w:marLeft w:val="0"/>
      <w:marRight w:val="0"/>
      <w:marTop w:val="0"/>
      <w:marBottom w:val="0"/>
      <w:divBdr>
        <w:top w:val="none" w:sz="0" w:space="0" w:color="auto"/>
        <w:left w:val="none" w:sz="0" w:space="0" w:color="auto"/>
        <w:bottom w:val="none" w:sz="0" w:space="0" w:color="auto"/>
        <w:right w:val="none" w:sz="0" w:space="0" w:color="auto"/>
      </w:divBdr>
    </w:div>
    <w:div w:id="1633440851">
      <w:bodyDiv w:val="1"/>
      <w:marLeft w:val="0"/>
      <w:marRight w:val="0"/>
      <w:marTop w:val="0"/>
      <w:marBottom w:val="0"/>
      <w:divBdr>
        <w:top w:val="none" w:sz="0" w:space="0" w:color="auto"/>
        <w:left w:val="none" w:sz="0" w:space="0" w:color="auto"/>
        <w:bottom w:val="none" w:sz="0" w:space="0" w:color="auto"/>
        <w:right w:val="none" w:sz="0" w:space="0" w:color="auto"/>
      </w:divBdr>
      <w:divsChild>
        <w:div w:id="258757403">
          <w:marLeft w:val="0"/>
          <w:marRight w:val="0"/>
          <w:marTop w:val="0"/>
          <w:marBottom w:val="0"/>
          <w:divBdr>
            <w:top w:val="none" w:sz="0" w:space="0" w:color="auto"/>
            <w:left w:val="none" w:sz="0" w:space="0" w:color="auto"/>
            <w:bottom w:val="none" w:sz="0" w:space="0" w:color="auto"/>
            <w:right w:val="none" w:sz="0" w:space="0" w:color="auto"/>
          </w:divBdr>
          <w:divsChild>
            <w:div w:id="1664704359">
              <w:marLeft w:val="0"/>
              <w:marRight w:val="0"/>
              <w:marTop w:val="0"/>
              <w:marBottom w:val="0"/>
              <w:divBdr>
                <w:top w:val="none" w:sz="0" w:space="0" w:color="auto"/>
                <w:left w:val="none" w:sz="0" w:space="0" w:color="auto"/>
                <w:bottom w:val="none" w:sz="0" w:space="0" w:color="auto"/>
                <w:right w:val="none" w:sz="0" w:space="0" w:color="auto"/>
              </w:divBdr>
              <w:divsChild>
                <w:div w:id="14678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79797">
      <w:bodyDiv w:val="1"/>
      <w:marLeft w:val="0"/>
      <w:marRight w:val="0"/>
      <w:marTop w:val="0"/>
      <w:marBottom w:val="0"/>
      <w:divBdr>
        <w:top w:val="none" w:sz="0" w:space="0" w:color="auto"/>
        <w:left w:val="none" w:sz="0" w:space="0" w:color="auto"/>
        <w:bottom w:val="none" w:sz="0" w:space="0" w:color="auto"/>
        <w:right w:val="none" w:sz="0" w:space="0" w:color="auto"/>
      </w:divBdr>
    </w:div>
    <w:div w:id="1668512874">
      <w:bodyDiv w:val="1"/>
      <w:marLeft w:val="0"/>
      <w:marRight w:val="0"/>
      <w:marTop w:val="0"/>
      <w:marBottom w:val="0"/>
      <w:divBdr>
        <w:top w:val="none" w:sz="0" w:space="0" w:color="auto"/>
        <w:left w:val="none" w:sz="0" w:space="0" w:color="auto"/>
        <w:bottom w:val="none" w:sz="0" w:space="0" w:color="auto"/>
        <w:right w:val="none" w:sz="0" w:space="0" w:color="auto"/>
      </w:divBdr>
      <w:divsChild>
        <w:div w:id="1806699304">
          <w:marLeft w:val="360"/>
          <w:marRight w:val="0"/>
          <w:marTop w:val="200"/>
          <w:marBottom w:val="0"/>
          <w:divBdr>
            <w:top w:val="none" w:sz="0" w:space="0" w:color="auto"/>
            <w:left w:val="none" w:sz="0" w:space="0" w:color="auto"/>
            <w:bottom w:val="none" w:sz="0" w:space="0" w:color="auto"/>
            <w:right w:val="none" w:sz="0" w:space="0" w:color="auto"/>
          </w:divBdr>
        </w:div>
        <w:div w:id="1362364959">
          <w:marLeft w:val="360"/>
          <w:marRight w:val="0"/>
          <w:marTop w:val="200"/>
          <w:marBottom w:val="0"/>
          <w:divBdr>
            <w:top w:val="none" w:sz="0" w:space="0" w:color="auto"/>
            <w:left w:val="none" w:sz="0" w:space="0" w:color="auto"/>
            <w:bottom w:val="none" w:sz="0" w:space="0" w:color="auto"/>
            <w:right w:val="none" w:sz="0" w:space="0" w:color="auto"/>
          </w:divBdr>
        </w:div>
      </w:divsChild>
    </w:div>
    <w:div w:id="1704013088">
      <w:bodyDiv w:val="1"/>
      <w:marLeft w:val="0"/>
      <w:marRight w:val="0"/>
      <w:marTop w:val="0"/>
      <w:marBottom w:val="0"/>
      <w:divBdr>
        <w:top w:val="none" w:sz="0" w:space="0" w:color="auto"/>
        <w:left w:val="none" w:sz="0" w:space="0" w:color="auto"/>
        <w:bottom w:val="none" w:sz="0" w:space="0" w:color="auto"/>
        <w:right w:val="none" w:sz="0" w:space="0" w:color="auto"/>
      </w:divBdr>
    </w:div>
    <w:div w:id="1775588691">
      <w:bodyDiv w:val="1"/>
      <w:marLeft w:val="0"/>
      <w:marRight w:val="0"/>
      <w:marTop w:val="0"/>
      <w:marBottom w:val="0"/>
      <w:divBdr>
        <w:top w:val="none" w:sz="0" w:space="0" w:color="auto"/>
        <w:left w:val="none" w:sz="0" w:space="0" w:color="auto"/>
        <w:bottom w:val="none" w:sz="0" w:space="0" w:color="auto"/>
        <w:right w:val="none" w:sz="0" w:space="0" w:color="auto"/>
      </w:divBdr>
    </w:div>
    <w:div w:id="2012220441">
      <w:bodyDiv w:val="1"/>
      <w:marLeft w:val="0"/>
      <w:marRight w:val="0"/>
      <w:marTop w:val="0"/>
      <w:marBottom w:val="0"/>
      <w:divBdr>
        <w:top w:val="none" w:sz="0" w:space="0" w:color="auto"/>
        <w:left w:val="none" w:sz="0" w:space="0" w:color="auto"/>
        <w:bottom w:val="none" w:sz="0" w:space="0" w:color="auto"/>
        <w:right w:val="none" w:sz="0" w:space="0" w:color="auto"/>
      </w:divBdr>
      <w:divsChild>
        <w:div w:id="1870339614">
          <w:marLeft w:val="547"/>
          <w:marRight w:val="0"/>
          <w:marTop w:val="0"/>
          <w:marBottom w:val="0"/>
          <w:divBdr>
            <w:top w:val="none" w:sz="0" w:space="0" w:color="auto"/>
            <w:left w:val="none" w:sz="0" w:space="0" w:color="auto"/>
            <w:bottom w:val="none" w:sz="0" w:space="0" w:color="auto"/>
            <w:right w:val="none" w:sz="0" w:space="0" w:color="auto"/>
          </w:divBdr>
        </w:div>
      </w:divsChild>
    </w:div>
    <w:div w:id="2035492908">
      <w:bodyDiv w:val="1"/>
      <w:marLeft w:val="0"/>
      <w:marRight w:val="0"/>
      <w:marTop w:val="0"/>
      <w:marBottom w:val="0"/>
      <w:divBdr>
        <w:top w:val="none" w:sz="0" w:space="0" w:color="auto"/>
        <w:left w:val="none" w:sz="0" w:space="0" w:color="auto"/>
        <w:bottom w:val="none" w:sz="0" w:space="0" w:color="auto"/>
        <w:right w:val="none" w:sz="0" w:space="0" w:color="auto"/>
      </w:divBdr>
      <w:divsChild>
        <w:div w:id="1072855423">
          <w:marLeft w:val="547"/>
          <w:marRight w:val="0"/>
          <w:marTop w:val="200"/>
          <w:marBottom w:val="0"/>
          <w:divBdr>
            <w:top w:val="none" w:sz="0" w:space="0" w:color="auto"/>
            <w:left w:val="none" w:sz="0" w:space="0" w:color="auto"/>
            <w:bottom w:val="none" w:sz="0" w:space="0" w:color="auto"/>
            <w:right w:val="none" w:sz="0" w:space="0" w:color="auto"/>
          </w:divBdr>
        </w:div>
        <w:div w:id="695934215">
          <w:marLeft w:val="547"/>
          <w:marRight w:val="0"/>
          <w:marTop w:val="200"/>
          <w:marBottom w:val="0"/>
          <w:divBdr>
            <w:top w:val="none" w:sz="0" w:space="0" w:color="auto"/>
            <w:left w:val="none" w:sz="0" w:space="0" w:color="auto"/>
            <w:bottom w:val="none" w:sz="0" w:space="0" w:color="auto"/>
            <w:right w:val="none" w:sz="0" w:space="0" w:color="auto"/>
          </w:divBdr>
        </w:div>
        <w:div w:id="1450929583">
          <w:marLeft w:val="547"/>
          <w:marRight w:val="0"/>
          <w:marTop w:val="200"/>
          <w:marBottom w:val="0"/>
          <w:divBdr>
            <w:top w:val="none" w:sz="0" w:space="0" w:color="auto"/>
            <w:left w:val="none" w:sz="0" w:space="0" w:color="auto"/>
            <w:bottom w:val="none" w:sz="0" w:space="0" w:color="auto"/>
            <w:right w:val="none" w:sz="0" w:space="0" w:color="auto"/>
          </w:divBdr>
        </w:div>
      </w:divsChild>
    </w:div>
    <w:div w:id="2094234367">
      <w:bodyDiv w:val="1"/>
      <w:marLeft w:val="0"/>
      <w:marRight w:val="0"/>
      <w:marTop w:val="0"/>
      <w:marBottom w:val="0"/>
      <w:divBdr>
        <w:top w:val="none" w:sz="0" w:space="0" w:color="auto"/>
        <w:left w:val="none" w:sz="0" w:space="0" w:color="auto"/>
        <w:bottom w:val="none" w:sz="0" w:space="0" w:color="auto"/>
        <w:right w:val="none" w:sz="0" w:space="0" w:color="auto"/>
      </w:divBdr>
      <w:divsChild>
        <w:div w:id="765464543">
          <w:marLeft w:val="965"/>
          <w:marRight w:val="0"/>
          <w:marTop w:val="0"/>
          <w:marBottom w:val="0"/>
          <w:divBdr>
            <w:top w:val="none" w:sz="0" w:space="0" w:color="auto"/>
            <w:left w:val="none" w:sz="0" w:space="0" w:color="auto"/>
            <w:bottom w:val="none" w:sz="0" w:space="0" w:color="auto"/>
            <w:right w:val="none" w:sz="0" w:space="0" w:color="auto"/>
          </w:divBdr>
        </w:div>
        <w:div w:id="360784152">
          <w:marLeft w:val="965"/>
          <w:marRight w:val="0"/>
          <w:marTop w:val="0"/>
          <w:marBottom w:val="0"/>
          <w:divBdr>
            <w:top w:val="none" w:sz="0" w:space="0" w:color="auto"/>
            <w:left w:val="none" w:sz="0" w:space="0" w:color="auto"/>
            <w:bottom w:val="none" w:sz="0" w:space="0" w:color="auto"/>
            <w:right w:val="none" w:sz="0" w:space="0" w:color="auto"/>
          </w:divBdr>
        </w:div>
        <w:div w:id="775252993">
          <w:marLeft w:val="965"/>
          <w:marRight w:val="0"/>
          <w:marTop w:val="0"/>
          <w:marBottom w:val="0"/>
          <w:divBdr>
            <w:top w:val="none" w:sz="0" w:space="0" w:color="auto"/>
            <w:left w:val="none" w:sz="0" w:space="0" w:color="auto"/>
            <w:bottom w:val="none" w:sz="0" w:space="0" w:color="auto"/>
            <w:right w:val="none" w:sz="0" w:space="0" w:color="auto"/>
          </w:divBdr>
        </w:div>
      </w:divsChild>
    </w:div>
    <w:div w:id="2095202626">
      <w:bodyDiv w:val="1"/>
      <w:marLeft w:val="0"/>
      <w:marRight w:val="0"/>
      <w:marTop w:val="0"/>
      <w:marBottom w:val="0"/>
      <w:divBdr>
        <w:top w:val="none" w:sz="0" w:space="0" w:color="auto"/>
        <w:left w:val="none" w:sz="0" w:space="0" w:color="auto"/>
        <w:bottom w:val="none" w:sz="0" w:space="0" w:color="auto"/>
        <w:right w:val="none" w:sz="0" w:space="0" w:color="auto"/>
      </w:divBdr>
      <w:divsChild>
        <w:div w:id="96392885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2309</TotalTime>
  <Pages>11</Pages>
  <Words>3265</Words>
  <Characters>19104</Characters>
  <Application>Microsoft Office Word</Application>
  <DocSecurity>0</DocSecurity>
  <Lines>318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K H Nguyen (18708924)</dc:creator>
  <cp:keywords/>
  <dc:description/>
  <cp:lastModifiedBy>Nguyen Giang Khanh  Hang</cp:lastModifiedBy>
  <cp:revision>36</cp:revision>
  <cp:lastPrinted>2022-11-09T16:10:00Z</cp:lastPrinted>
  <dcterms:created xsi:type="dcterms:W3CDTF">2022-08-18T08:01:00Z</dcterms:created>
  <dcterms:modified xsi:type="dcterms:W3CDTF">2022-11-09T16:16:00Z</dcterms:modified>
</cp:coreProperties>
</file>