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950A0" w14:textId="6CCF46F6" w:rsidR="00502794" w:rsidRPr="00F76356" w:rsidRDefault="00926381" w:rsidP="00926381">
      <w:pPr>
        <w:tabs>
          <w:tab w:val="left" w:leader="dot" w:pos="7200"/>
        </w:tabs>
        <w:spacing w:line="312" w:lineRule="auto"/>
        <w:ind w:left="142" w:firstLine="0"/>
        <w:jc w:val="center"/>
        <w:rPr>
          <w:rFonts w:ascii="Times New Roman" w:hAnsi="Times New Roman" w:cs="Times New Roman"/>
          <w:b/>
          <w:bCs/>
          <w:sz w:val="26"/>
          <w:szCs w:val="26"/>
          <w:lang w:val="vi-VN"/>
        </w:rPr>
      </w:pPr>
      <w:r w:rsidRPr="00F76356">
        <w:rPr>
          <w:rFonts w:ascii="Times New Roman" w:hAnsi="Times New Roman" w:cs="Times New Roman"/>
          <w:b/>
          <w:bCs/>
          <w:noProof/>
          <w:sz w:val="26"/>
          <w:szCs w:val="26"/>
          <w:lang w:eastAsia="zh-CN"/>
        </w:rPr>
        <mc:AlternateContent>
          <mc:Choice Requires="wps">
            <w:drawing>
              <wp:anchor distT="0" distB="0" distL="114300" distR="114300" simplePos="0" relativeHeight="251659264" behindDoc="1" locked="0" layoutInCell="1" allowOverlap="1" wp14:anchorId="66E229A0" wp14:editId="7291CB46">
                <wp:simplePos x="0" y="0"/>
                <wp:positionH relativeFrom="column">
                  <wp:posOffset>35971</wp:posOffset>
                </wp:positionH>
                <wp:positionV relativeFrom="paragraph">
                  <wp:posOffset>-85501</wp:posOffset>
                </wp:positionV>
                <wp:extent cx="5822539" cy="9278471"/>
                <wp:effectExtent l="19050" t="19050" r="45085" b="37465"/>
                <wp:wrapNone/>
                <wp:docPr id="1" name="Rectangle 1"/>
                <wp:cNvGraphicFramePr/>
                <a:graphic xmlns:a="http://schemas.openxmlformats.org/drawingml/2006/main">
                  <a:graphicData uri="http://schemas.microsoft.com/office/word/2010/wordprocessingShape">
                    <wps:wsp>
                      <wps:cNvSpPr/>
                      <wps:spPr>
                        <a:xfrm>
                          <a:off x="0" y="0"/>
                          <a:ext cx="5822539" cy="9278471"/>
                        </a:xfrm>
                        <a:prstGeom prst="rect">
                          <a:avLst/>
                        </a:prstGeom>
                        <a:ln w="508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460E" id="Rectangle 1" o:spid="_x0000_s1026" style="position:absolute;margin-left:2.85pt;margin-top:-6.75pt;width:458.45pt;height:7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" fillcolor="white [3201]" strokecolor="black [3200]" strokeweight="4pt"/>
            </w:pict>
          </mc:Fallback>
        </mc:AlternateContent>
      </w:r>
      <w:r w:rsidR="00502794" w:rsidRPr="00F76356">
        <w:rPr>
          <w:rFonts w:ascii="Times New Roman" w:hAnsi="Times New Roman" w:cs="Times New Roman"/>
          <w:b/>
          <w:bCs/>
          <w:sz w:val="26"/>
          <w:szCs w:val="26"/>
        </w:rPr>
        <w:t>TRƯ</w:t>
      </w:r>
      <w:r w:rsidR="00502794" w:rsidRPr="00F76356">
        <w:rPr>
          <w:rFonts w:ascii="Times New Roman" w:hAnsi="Times New Roman" w:cs="Times New Roman"/>
          <w:b/>
          <w:bCs/>
          <w:sz w:val="26"/>
          <w:szCs w:val="26"/>
          <w:lang w:val="vi-VN"/>
        </w:rPr>
        <w:t>ỜNG ĐẠI HỌC THỦY LỢI</w:t>
      </w:r>
    </w:p>
    <w:p w14:paraId="62DDB334"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5D7AE81F"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43D484B4"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78EAF26A"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2D606163"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4D104090" w14:textId="77777777" w:rsidR="00453C3A" w:rsidRPr="00FE4250"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ĐỀ TÀI: </w:t>
      </w:r>
    </w:p>
    <w:p w14:paraId="4CC2CE6A" w14:textId="77777777" w:rsidR="00926381" w:rsidRPr="00FE4250" w:rsidRDefault="00502794" w:rsidP="00926381">
      <w:pPr>
        <w:tabs>
          <w:tab w:val="left" w:leader="dot" w:pos="7200"/>
        </w:tabs>
        <w:spacing w:line="312" w:lineRule="auto"/>
        <w:ind w:left="142" w:firstLine="0"/>
        <w:jc w:val="center"/>
        <w:rPr>
          <w:rFonts w:ascii="Times New Roman" w:hAnsi="Times New Roman" w:cs="Times New Roman"/>
          <w:b/>
          <w:bCs/>
          <w:sz w:val="32"/>
          <w:szCs w:val="32"/>
          <w:lang w:val="vi-VN"/>
        </w:rPr>
      </w:pPr>
      <w:r w:rsidRPr="00F76356">
        <w:rPr>
          <w:rFonts w:ascii="Times New Roman" w:hAnsi="Times New Roman" w:cs="Times New Roman"/>
          <w:b/>
          <w:bCs/>
          <w:sz w:val="32"/>
          <w:szCs w:val="32"/>
          <w:lang w:val="vi-VN"/>
        </w:rPr>
        <w:t xml:space="preserve">NGHIÊN CỨU VỀ ĐỀ TÀI CHO VAY NGANG HÀNG </w:t>
      </w:r>
    </w:p>
    <w:p w14:paraId="2DBE2906" w14:textId="68759917" w:rsidR="00502794" w:rsidRPr="00F76356" w:rsidRDefault="00502794" w:rsidP="00926381">
      <w:pPr>
        <w:tabs>
          <w:tab w:val="left" w:leader="dot" w:pos="7200"/>
        </w:tabs>
        <w:spacing w:line="312" w:lineRule="auto"/>
        <w:ind w:left="142" w:firstLine="0"/>
        <w:jc w:val="center"/>
        <w:rPr>
          <w:rFonts w:ascii="Times New Roman" w:hAnsi="Times New Roman" w:cs="Times New Roman"/>
          <w:b/>
          <w:bCs/>
          <w:sz w:val="32"/>
          <w:szCs w:val="32"/>
          <w:lang w:val="vi-VN"/>
        </w:rPr>
      </w:pPr>
      <w:r w:rsidRPr="00F76356">
        <w:rPr>
          <w:rFonts w:ascii="Times New Roman" w:hAnsi="Times New Roman" w:cs="Times New Roman"/>
          <w:b/>
          <w:bCs/>
          <w:sz w:val="32"/>
          <w:szCs w:val="32"/>
          <w:lang w:val="vi-VN"/>
        </w:rPr>
        <w:t>TẠI VIỆT NAM (P2P LENGDING)</w:t>
      </w:r>
    </w:p>
    <w:p w14:paraId="53FC1F10" w14:textId="77777777" w:rsidR="00453C3A" w:rsidRPr="00FE4250"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69DAFB94" w14:textId="77777777" w:rsidR="00453C3A" w:rsidRPr="00FE4250"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p>
    <w:p w14:paraId="10F239C1" w14:textId="77777777" w:rsidR="00453C3A" w:rsidRPr="00FE4250"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p>
    <w:p w14:paraId="379E648D" w14:textId="77777777" w:rsidR="00453C3A" w:rsidRPr="00FE4250"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4013"/>
      </w:tblGrid>
      <w:tr w:rsidR="002D3EED" w:rsidRPr="00F76356" w14:paraId="547F9212" w14:textId="77777777" w:rsidTr="00926381">
        <w:tc>
          <w:tcPr>
            <w:tcW w:w="2932" w:type="dxa"/>
          </w:tcPr>
          <w:p w14:paraId="3185B08A" w14:textId="5222582A" w:rsidR="00453C3A" w:rsidRPr="00F76356" w:rsidRDefault="00453C3A" w:rsidP="00926381">
            <w:pPr>
              <w:tabs>
                <w:tab w:val="left" w:leader="dot" w:pos="7200"/>
              </w:tabs>
              <w:spacing w:line="312" w:lineRule="auto"/>
              <w:ind w:left="142" w:firstLine="0"/>
              <w:rPr>
                <w:rFonts w:ascii="Times New Roman" w:hAnsi="Times New Roman" w:cs="Times New Roman"/>
                <w:b/>
                <w:bCs/>
                <w:i/>
                <w:sz w:val="26"/>
                <w:szCs w:val="26"/>
                <w:lang w:val="vi-VN"/>
              </w:rPr>
            </w:pPr>
            <w:r w:rsidRPr="00F76356">
              <w:rPr>
                <w:rFonts w:ascii="Times New Roman" w:hAnsi="Times New Roman" w:cs="Times New Roman"/>
                <w:b/>
                <w:bCs/>
                <w:i/>
                <w:sz w:val="26"/>
                <w:szCs w:val="26"/>
                <w:lang w:val="vi-VN"/>
              </w:rPr>
              <w:t>Sinh viên thực hiện:</w:t>
            </w:r>
          </w:p>
        </w:tc>
        <w:tc>
          <w:tcPr>
            <w:tcW w:w="4013" w:type="dxa"/>
          </w:tcPr>
          <w:p w14:paraId="70D27280" w14:textId="13A5AE46"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Nguyễn Thị Lan Anh</w:t>
            </w:r>
          </w:p>
        </w:tc>
      </w:tr>
      <w:tr w:rsidR="002D3EED" w:rsidRPr="00F76356" w14:paraId="39DBBC02" w14:textId="77777777" w:rsidTr="00926381">
        <w:tc>
          <w:tcPr>
            <w:tcW w:w="2932" w:type="dxa"/>
          </w:tcPr>
          <w:p w14:paraId="3D139E9F" w14:textId="77777777" w:rsidR="00453C3A" w:rsidRPr="00F76356" w:rsidRDefault="00453C3A" w:rsidP="00926381">
            <w:pPr>
              <w:tabs>
                <w:tab w:val="left" w:leader="dot" w:pos="7200"/>
              </w:tabs>
              <w:spacing w:line="312" w:lineRule="auto"/>
              <w:ind w:left="142" w:firstLine="0"/>
              <w:rPr>
                <w:rFonts w:ascii="Times New Roman" w:hAnsi="Times New Roman" w:cs="Times New Roman"/>
                <w:b/>
                <w:bCs/>
                <w:i/>
                <w:sz w:val="26"/>
                <w:szCs w:val="26"/>
                <w:lang w:val="vi-VN"/>
              </w:rPr>
            </w:pPr>
          </w:p>
        </w:tc>
        <w:tc>
          <w:tcPr>
            <w:tcW w:w="4013" w:type="dxa"/>
          </w:tcPr>
          <w:p w14:paraId="34B90AAF" w14:textId="7192C3D8"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Lê Hoàng Phước Quỳnh</w:t>
            </w:r>
          </w:p>
        </w:tc>
      </w:tr>
      <w:tr w:rsidR="002D3EED" w:rsidRPr="00F76356" w14:paraId="3DCC2884" w14:textId="77777777" w:rsidTr="00926381">
        <w:tc>
          <w:tcPr>
            <w:tcW w:w="2932" w:type="dxa"/>
          </w:tcPr>
          <w:p w14:paraId="3DC869CD" w14:textId="552EF7E5" w:rsidR="00453C3A" w:rsidRPr="00F76356" w:rsidRDefault="00453C3A" w:rsidP="00926381">
            <w:pPr>
              <w:tabs>
                <w:tab w:val="left" w:leader="dot" w:pos="7200"/>
              </w:tabs>
              <w:spacing w:line="312" w:lineRule="auto"/>
              <w:ind w:left="142" w:firstLine="0"/>
              <w:rPr>
                <w:rFonts w:ascii="Times New Roman" w:hAnsi="Times New Roman" w:cs="Times New Roman"/>
                <w:b/>
                <w:bCs/>
                <w:i/>
                <w:sz w:val="26"/>
                <w:szCs w:val="26"/>
                <w:lang w:val="vi-VN"/>
              </w:rPr>
            </w:pPr>
            <w:r w:rsidRPr="00F76356">
              <w:rPr>
                <w:rFonts w:ascii="Times New Roman" w:hAnsi="Times New Roman" w:cs="Times New Roman"/>
                <w:b/>
                <w:bCs/>
                <w:i/>
                <w:sz w:val="26"/>
                <w:szCs w:val="26"/>
                <w:lang w:val="vi-VN"/>
              </w:rPr>
              <w:t>Lớp:</w:t>
            </w:r>
          </w:p>
        </w:tc>
        <w:tc>
          <w:tcPr>
            <w:tcW w:w="4013" w:type="dxa"/>
          </w:tcPr>
          <w:p w14:paraId="4C8FA57A" w14:textId="76F2F282"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63K2</w:t>
            </w:r>
          </w:p>
        </w:tc>
      </w:tr>
      <w:tr w:rsidR="002D3EED" w:rsidRPr="00FE4250" w14:paraId="5CE1ED30" w14:textId="77777777" w:rsidTr="00926381">
        <w:tc>
          <w:tcPr>
            <w:tcW w:w="2932" w:type="dxa"/>
          </w:tcPr>
          <w:p w14:paraId="5C3B18B5" w14:textId="7056499A" w:rsidR="00453C3A" w:rsidRPr="00F76356" w:rsidRDefault="00453C3A" w:rsidP="00926381">
            <w:pPr>
              <w:tabs>
                <w:tab w:val="left" w:leader="dot" w:pos="7200"/>
              </w:tabs>
              <w:spacing w:line="312" w:lineRule="auto"/>
              <w:ind w:left="142" w:firstLine="0"/>
              <w:rPr>
                <w:rFonts w:ascii="Times New Roman" w:hAnsi="Times New Roman" w:cs="Times New Roman"/>
                <w:b/>
                <w:bCs/>
                <w:i/>
                <w:sz w:val="26"/>
                <w:szCs w:val="26"/>
                <w:lang w:val="vi-VN"/>
              </w:rPr>
            </w:pPr>
            <w:r w:rsidRPr="00F76356">
              <w:rPr>
                <w:rFonts w:ascii="Times New Roman" w:hAnsi="Times New Roman" w:cs="Times New Roman"/>
                <w:b/>
                <w:bCs/>
                <w:i/>
                <w:sz w:val="26"/>
                <w:szCs w:val="26"/>
                <w:lang w:val="vi-VN"/>
              </w:rPr>
              <w:t>Khoa:</w:t>
            </w:r>
          </w:p>
        </w:tc>
        <w:tc>
          <w:tcPr>
            <w:tcW w:w="4013" w:type="dxa"/>
          </w:tcPr>
          <w:p w14:paraId="622FBFE7" w14:textId="11EFFD60"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Kinh tế và Quản lý</w:t>
            </w:r>
          </w:p>
        </w:tc>
      </w:tr>
      <w:tr w:rsidR="002D3EED" w:rsidRPr="00F76356" w14:paraId="2AB92345" w14:textId="77777777" w:rsidTr="00926381">
        <w:tc>
          <w:tcPr>
            <w:tcW w:w="2932" w:type="dxa"/>
          </w:tcPr>
          <w:p w14:paraId="62553655" w14:textId="581DFDD5" w:rsidR="00453C3A" w:rsidRPr="00F76356" w:rsidRDefault="00453C3A" w:rsidP="00926381">
            <w:pPr>
              <w:tabs>
                <w:tab w:val="left" w:leader="dot" w:pos="7200"/>
              </w:tabs>
              <w:spacing w:line="312" w:lineRule="auto"/>
              <w:ind w:left="142" w:firstLine="0"/>
              <w:rPr>
                <w:rFonts w:ascii="Times New Roman" w:hAnsi="Times New Roman" w:cs="Times New Roman"/>
                <w:b/>
                <w:bCs/>
                <w:i/>
                <w:sz w:val="26"/>
                <w:szCs w:val="26"/>
                <w:lang w:val="vi-VN"/>
              </w:rPr>
            </w:pPr>
            <w:r w:rsidRPr="00F76356">
              <w:rPr>
                <w:rFonts w:ascii="Times New Roman" w:hAnsi="Times New Roman" w:cs="Times New Roman"/>
                <w:b/>
                <w:bCs/>
                <w:i/>
                <w:sz w:val="26"/>
                <w:szCs w:val="26"/>
                <w:lang w:val="vi-VN"/>
              </w:rPr>
              <w:t>Giáo viên hướng dẫn:</w:t>
            </w:r>
          </w:p>
        </w:tc>
        <w:tc>
          <w:tcPr>
            <w:tcW w:w="4013" w:type="dxa"/>
          </w:tcPr>
          <w:p w14:paraId="7A124A4B" w14:textId="2B1C22B7"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TS.Tô Minh Hương</w:t>
            </w:r>
          </w:p>
        </w:tc>
      </w:tr>
      <w:tr w:rsidR="002D3EED" w:rsidRPr="00F76356" w14:paraId="20E67EF9" w14:textId="77777777" w:rsidTr="00926381">
        <w:tc>
          <w:tcPr>
            <w:tcW w:w="2932" w:type="dxa"/>
          </w:tcPr>
          <w:p w14:paraId="1B8AEA02" w14:textId="77777777"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p>
        </w:tc>
        <w:tc>
          <w:tcPr>
            <w:tcW w:w="4013" w:type="dxa"/>
          </w:tcPr>
          <w:p w14:paraId="3B3FFD55" w14:textId="77777777" w:rsidR="00453C3A" w:rsidRPr="00F76356" w:rsidRDefault="00453C3A" w:rsidP="00926381">
            <w:pPr>
              <w:tabs>
                <w:tab w:val="left" w:leader="dot" w:pos="7200"/>
              </w:tabs>
              <w:spacing w:line="312" w:lineRule="auto"/>
              <w:ind w:left="142" w:firstLine="0"/>
              <w:rPr>
                <w:rFonts w:ascii="Times New Roman" w:hAnsi="Times New Roman" w:cs="Times New Roman"/>
                <w:b/>
                <w:bCs/>
                <w:sz w:val="26"/>
                <w:szCs w:val="26"/>
                <w:lang w:val="vi-VN"/>
              </w:rPr>
            </w:pPr>
          </w:p>
        </w:tc>
      </w:tr>
    </w:tbl>
    <w:p w14:paraId="14AC1229" w14:textId="0A408FD8"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551903A8" w14:textId="0AE2C970"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16A074EA" w14:textId="7BA7DB3E"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6052D442" w14:textId="48C6352E"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61C2C1CE" w14:textId="5DDD681D"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569DB8CE" w14:textId="2B565C35"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w:t>
      </w:r>
    </w:p>
    <w:p w14:paraId="3A860D93" w14:textId="43C38231"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78B22AFB"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21197D14" w14:textId="77777777" w:rsidR="00502794" w:rsidRPr="00F76356"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p>
    <w:p w14:paraId="7EF8B639" w14:textId="77777777" w:rsidR="00926381" w:rsidRPr="00FE4250" w:rsidRDefault="00502794" w:rsidP="00926381">
      <w:pPr>
        <w:tabs>
          <w:tab w:val="left" w:leader="dot" w:pos="7200"/>
        </w:tabs>
        <w:spacing w:line="312" w:lineRule="auto"/>
        <w:ind w:left="142" w:firstLine="0"/>
        <w:rPr>
          <w:rFonts w:ascii="Times New Roman" w:hAnsi="Times New Roman" w:cs="Times New Roman"/>
          <w:b/>
          <w:bCs/>
          <w:sz w:val="26"/>
          <w:szCs w:val="26"/>
          <w:lang w:val="vi-VN"/>
        </w:rPr>
      </w:pPr>
      <w:r w:rsidRPr="00F76356">
        <w:rPr>
          <w:rFonts w:ascii="Times New Roman" w:hAnsi="Times New Roman" w:cs="Times New Roman"/>
          <w:b/>
          <w:bCs/>
          <w:sz w:val="26"/>
          <w:szCs w:val="26"/>
          <w:lang w:val="vi-VN"/>
        </w:rPr>
        <w:t xml:space="preserve">                                     Hà Nội, ngày 7 tháng 5 năm 2023</w:t>
      </w:r>
    </w:p>
    <w:p w14:paraId="277562AE" w14:textId="26739521" w:rsidR="007E055C" w:rsidRPr="00F76356" w:rsidRDefault="007E055C" w:rsidP="002D3EED">
      <w:pPr>
        <w:pStyle w:val="0LV1"/>
        <w:jc w:val="center"/>
        <w:rPr>
          <w:rFonts w:cs="Times New Roman"/>
        </w:rPr>
      </w:pPr>
      <w:bookmarkStart w:id="0" w:name="_Toc134387158"/>
      <w:bookmarkStart w:id="1" w:name="_GoBack"/>
      <w:bookmarkEnd w:id="1"/>
      <w:r w:rsidRPr="00F76356">
        <w:rPr>
          <w:rFonts w:cs="Times New Roman"/>
        </w:rPr>
        <w:lastRenderedPageBreak/>
        <w:t>MỞ ĐẦU</w:t>
      </w:r>
      <w:bookmarkEnd w:id="0"/>
    </w:p>
    <w:p w14:paraId="0018E417" w14:textId="69F698FF" w:rsidR="007E055C" w:rsidRPr="00F76356" w:rsidRDefault="00D66763" w:rsidP="00D66763">
      <w:pPr>
        <w:pStyle w:val="0NOIDUNG"/>
        <w:rPr>
          <w:rFonts w:cs="Times New Roman"/>
          <w:b/>
        </w:rPr>
      </w:pPr>
      <w:r w:rsidRPr="00F76356">
        <w:rPr>
          <w:rFonts w:cs="Times New Roman"/>
          <w:b/>
        </w:rPr>
        <w:t xml:space="preserve">1. </w:t>
      </w:r>
      <w:r w:rsidR="007E055C" w:rsidRPr="00F76356">
        <w:rPr>
          <w:rFonts w:cs="Times New Roman"/>
          <w:b/>
        </w:rPr>
        <w:t xml:space="preserve">Lý do chọn đề tài </w:t>
      </w:r>
    </w:p>
    <w:p w14:paraId="55F30093" w14:textId="7C98589D" w:rsidR="007E055C" w:rsidRPr="00F76356" w:rsidRDefault="007E055C" w:rsidP="002D3EED">
      <w:pPr>
        <w:pStyle w:val="0NOIDUNG"/>
        <w:rPr>
          <w:rFonts w:cs="Times New Roman"/>
        </w:rPr>
      </w:pPr>
      <w:r w:rsidRPr="00F76356">
        <w:rPr>
          <w:rFonts w:cs="Times New Roman"/>
          <w:b/>
          <w:bCs/>
        </w:rPr>
        <w:t>“Tài chính-tiền tệ”</w:t>
      </w:r>
      <w:r w:rsidRPr="00F76356">
        <w:rPr>
          <w:rFonts w:cs="Times New Roman"/>
        </w:rPr>
        <w:t xml:space="preserve"> là một cụm từ được mọi người biết đến rộng rãi đặc biệt là các nhà đầu tư và những người có chuyên môn về phân tích tài chính. Nhưng liệu có phải ai cũng hiểu được tài chính là gì? “Tài chính-tiền tệ” nói chung là bao gồm những hoạt động liên quan đến giao dịch dòng tiền để cấp vốn cho những tổ chức cần để mở rộng mô hình kinh doanh.</w:t>
      </w:r>
    </w:p>
    <w:p w14:paraId="6669E669" w14:textId="7E5F6527" w:rsidR="007E055C" w:rsidRPr="00F76356" w:rsidRDefault="007E055C" w:rsidP="002D3EED">
      <w:pPr>
        <w:pStyle w:val="0NOIDUNG"/>
        <w:rPr>
          <w:rFonts w:cs="Times New Roman"/>
          <w:lang w:val="vi-VN"/>
        </w:rPr>
      </w:pPr>
      <w:r w:rsidRPr="00F76356">
        <w:rPr>
          <w:rFonts w:cs="Times New Roman"/>
          <w:lang w:val="vi-VN"/>
        </w:rPr>
        <w:t>Tài chính được biết đến với vai trò là một sự vận động của vốn tiền tệ. Thêm</w:t>
      </w:r>
      <w:r w:rsidR="004D3B08" w:rsidRPr="00F76356">
        <w:rPr>
          <w:rFonts w:cs="Times New Roman"/>
          <w:lang w:val="vi-VN"/>
        </w:rPr>
        <w:t xml:space="preserve"> </w:t>
      </w:r>
      <w:r w:rsidRPr="00F76356">
        <w:rPr>
          <w:rFonts w:cs="Times New Roman"/>
          <w:lang w:val="vi-VN"/>
        </w:rPr>
        <w:t>vào đó, tài</w:t>
      </w:r>
      <w:r w:rsidR="004F6DC7" w:rsidRPr="00F76356">
        <w:rPr>
          <w:rFonts w:cs="Times New Roman"/>
          <w:lang w:val="vi-VN"/>
        </w:rPr>
        <w:t xml:space="preserve"> </w:t>
      </w:r>
      <w:r w:rsidRPr="00F76356">
        <w:rPr>
          <w:rFonts w:cs="Times New Roman"/>
          <w:lang w:val="vi-VN"/>
        </w:rPr>
        <w:t>chính góp mặt và diễn ra ở tất cả các chủ thể trong đời sống xã hội.</w:t>
      </w:r>
    </w:p>
    <w:p w14:paraId="07B93DEA" w14:textId="2CB8961C" w:rsidR="007E055C" w:rsidRPr="00F76356" w:rsidRDefault="007E055C" w:rsidP="002D3EED">
      <w:pPr>
        <w:pStyle w:val="0NOIDUNG"/>
        <w:rPr>
          <w:rFonts w:cs="Times New Roman"/>
          <w:lang w:val="vi-VN"/>
        </w:rPr>
      </w:pPr>
      <w:r w:rsidRPr="00F76356">
        <w:rPr>
          <w:rFonts w:cs="Times New Roman"/>
          <w:lang w:val="vi-VN"/>
        </w:rPr>
        <w:t>Tài chính phản ánh một cách tổng hợp những mối quan hệ kinh tế phát sinh ra trong quá trình phân phối những nguồn tài chính thông qua việc tạo lập hay là sử dụng những quỹ tiền tệ với mục đích đáp ứng nhu cầu khác nhau của tất cả các chủ thể tồn tại trong đời sống xã hội.</w:t>
      </w:r>
    </w:p>
    <w:p w14:paraId="6888DF78" w14:textId="77777777" w:rsidR="007E055C" w:rsidRPr="00F76356" w:rsidRDefault="007E055C" w:rsidP="002D3EED">
      <w:pPr>
        <w:pStyle w:val="0NOIDUNG"/>
        <w:rPr>
          <w:rFonts w:cs="Times New Roman"/>
          <w:shd w:val="clear" w:color="auto" w:fill="FFFFFF"/>
          <w:lang w:val="vi-VN"/>
        </w:rPr>
      </w:pPr>
      <w:r w:rsidRPr="00F76356">
        <w:rPr>
          <w:rFonts w:cs="Times New Roman"/>
          <w:shd w:val="clear" w:color="auto" w:fill="FFFFFF"/>
          <w:lang w:val="vi-VN"/>
        </w:rPr>
        <w:t>Thêm một điều nữa rằng tài chính là một hiện tượng đặc trưng tạo nên bằng quá trình vận động tương đối độc lập của tiền tệ với chức năng phương tiện thanh toán và chức năng phương tiện cất trữ trong khi tạo lập hoặc là sử dụng quỹ tiền tệ đại diện cho sức mua nhất định nào đó ở các chủ thể kinh tế, xã hội.</w:t>
      </w:r>
    </w:p>
    <w:p w14:paraId="65F1F7E7" w14:textId="77777777" w:rsidR="007E055C" w:rsidRPr="00F76356" w:rsidRDefault="007E055C" w:rsidP="002D3EED">
      <w:pPr>
        <w:pStyle w:val="0NOIDUNG"/>
        <w:rPr>
          <w:rFonts w:cs="Times New Roman"/>
          <w:bdr w:val="none" w:sz="0" w:space="0" w:color="auto" w:frame="1"/>
          <w:shd w:val="clear" w:color="auto" w:fill="FFFFFF"/>
          <w:lang w:val="vi-VN"/>
        </w:rPr>
      </w:pPr>
      <w:r w:rsidRPr="00F76356">
        <w:rPr>
          <w:rFonts w:cs="Times New Roman"/>
          <w:shd w:val="clear" w:color="auto" w:fill="FFFFFF"/>
          <w:lang w:val="vi-VN"/>
        </w:rPr>
        <w:t xml:space="preserve">Hiện nay ở nước ta đang xuất hiện một mô hình tài chính mới mang tên “Cơ chế cho vay ngang hàng” được viết tắt là P2P (peer to peer landing) </w:t>
      </w:r>
      <w:r w:rsidRPr="00F76356">
        <w:rPr>
          <w:rFonts w:cs="Times New Roman"/>
          <w:bdr w:val="none" w:sz="0" w:space="0" w:color="auto" w:frame="1"/>
          <w:shd w:val="clear" w:color="auto" w:fill="FFFFFF"/>
          <w:lang w:val="vi-VN"/>
        </w:rPr>
        <w:t>là hoạt động được thiết kế và xây dựng trên nền tảng</w:t>
      </w:r>
      <w:r w:rsidRPr="00F76356">
        <w:rPr>
          <w:rFonts w:cs="Times New Roman"/>
          <w:shd w:val="clear" w:color="auto" w:fill="FFFFFF"/>
          <w:lang w:val="vi-VN"/>
        </w:rPr>
        <w:t> ứng dụng công nghệ số</w:t>
      </w:r>
      <w:r w:rsidRPr="00F76356">
        <w:rPr>
          <w:rFonts w:cs="Times New Roman"/>
          <w:bdr w:val="none" w:sz="0" w:space="0" w:color="auto" w:frame="1"/>
          <w:shd w:val="clear" w:color="auto" w:fill="FFFFFF"/>
          <w:lang w:val="vi-VN"/>
        </w:rPr>
        <w:t> để kết nối trực tiếp người đi vay với người cho vay (nhà đầu tư) mà không thông qua trung gian tài chính như tổ chức tín dụng hay ngân hàng.</w:t>
      </w:r>
    </w:p>
    <w:p w14:paraId="0EC035AF" w14:textId="77777777" w:rsidR="007E055C" w:rsidRPr="00F76356" w:rsidRDefault="007E055C" w:rsidP="002D3EED">
      <w:pPr>
        <w:pStyle w:val="0NOIDUNG"/>
        <w:rPr>
          <w:rFonts w:cs="Times New Roman"/>
          <w:bdr w:val="none" w:sz="0" w:space="0" w:color="auto" w:frame="1"/>
          <w:shd w:val="clear" w:color="auto" w:fill="FFFFFF"/>
          <w:lang w:val="vi-VN"/>
        </w:rPr>
      </w:pPr>
      <w:r w:rsidRPr="00F76356">
        <w:rPr>
          <w:rFonts w:cs="Times New Roman"/>
          <w:bdr w:val="none" w:sz="0" w:space="0" w:color="auto" w:frame="1"/>
          <w:shd w:val="clear" w:color="auto" w:fill="FFFFFF"/>
          <w:lang w:val="vi-VN"/>
        </w:rPr>
        <w:t>Sở dĩ chúng tôi chọn phân tích đề tài này là bởi tôi thấy được tiềm năng phát triển của cơ chế cho vay ngang hàng tại Việt Nam thông qua một số quốc gia trên thế giới đã phát triển thành công như Mỹ, Malaysia, Indonesia,... Mô hình cho vay ngang hàng mang lại những lợi ích cho cả quốc gia bên cạnh đó là cả người đi vay và cho vay. Song bên cạnh đó còn rất nhiều những hạn chế mà mô hình này gặp phải trong đó phải kể đến cơ chế này ở Việt Nam chưa xây dựng được hành lang pháp lý hiệu quả và lâu dài.</w:t>
      </w:r>
    </w:p>
    <w:p w14:paraId="7ED8291A" w14:textId="77777777" w:rsidR="007E055C" w:rsidRPr="00F76356" w:rsidRDefault="007E055C" w:rsidP="002D3EED">
      <w:pPr>
        <w:pStyle w:val="0NOIDUNG"/>
        <w:rPr>
          <w:rFonts w:cs="Times New Roman"/>
          <w:bdr w:val="none" w:sz="0" w:space="0" w:color="auto" w:frame="1"/>
          <w:shd w:val="clear" w:color="auto" w:fill="FFFFFF"/>
          <w:lang w:val="vi-VN"/>
        </w:rPr>
      </w:pPr>
      <w:r w:rsidRPr="00F76356">
        <w:rPr>
          <w:rFonts w:cs="Times New Roman"/>
          <w:bdr w:val="none" w:sz="0" w:space="0" w:color="auto" w:frame="1"/>
          <w:shd w:val="clear" w:color="auto" w:fill="FFFFFF"/>
          <w:lang w:val="vi-VN"/>
        </w:rPr>
        <w:lastRenderedPageBreak/>
        <w:t>Chính phủ Việt Nam luôn khuyến khích đổi mới, sáng tạo từ những cải tiến của công nghệ số hóa, tuy nhiên phải đồng thời đảm bảo được quyền lợi hợp pháp của các bên tham gia, giữ vững ổn định an ninh trật tự xã hội. Từ đó, theo </w:t>
      </w:r>
      <w:r w:rsidRPr="00F76356">
        <w:rPr>
          <w:rFonts w:cs="Times New Roman"/>
          <w:shd w:val="clear" w:color="auto" w:fill="FFFFFF"/>
          <w:lang w:val="vi-VN"/>
        </w:rPr>
        <w:t>Quyết định 999/QĐ-TTg ngày 12/8/2019</w:t>
      </w:r>
      <w:r w:rsidRPr="00F76356">
        <w:rPr>
          <w:rFonts w:cs="Times New Roman"/>
          <w:bdr w:val="none" w:sz="0" w:space="0" w:color="auto" w:frame="1"/>
          <w:shd w:val="clear" w:color="auto" w:fill="FFFFFF"/>
          <w:lang w:val="vi-VN"/>
        </w:rPr>
        <w:t>, Thủ tướng Chính phủ đã phê duyệt </w:t>
      </w:r>
      <w:r w:rsidRPr="00F76356">
        <w:rPr>
          <w:rStyle w:val="Strong"/>
          <w:rFonts w:cs="Times New Roman"/>
          <w:szCs w:val="26"/>
          <w:bdr w:val="none" w:sz="0" w:space="0" w:color="auto" w:frame="1"/>
          <w:shd w:val="clear" w:color="auto" w:fill="FFFFFF"/>
          <w:lang w:val="vi-VN"/>
        </w:rPr>
        <w:t>“</w:t>
      </w:r>
      <w:hyperlink r:id="rId8" w:tgtFrame="_blank" w:history="1">
        <w:r w:rsidRPr="00F76356">
          <w:rPr>
            <w:rStyle w:val="Hyperlink"/>
            <w:rFonts w:cs="Times New Roman"/>
            <w:color w:val="auto"/>
            <w:szCs w:val="26"/>
            <w:bdr w:val="none" w:sz="0" w:space="0" w:color="auto" w:frame="1"/>
            <w:lang w:val="vi-VN"/>
          </w:rPr>
          <w:t>Đề án Thúc đẩy mô hình kinh tế chia sẻ</w:t>
        </w:r>
      </w:hyperlink>
      <w:r w:rsidRPr="00F76356">
        <w:rPr>
          <w:rStyle w:val="Strong"/>
          <w:rFonts w:cs="Times New Roman"/>
          <w:szCs w:val="26"/>
          <w:bdr w:val="none" w:sz="0" w:space="0" w:color="auto" w:frame="1"/>
          <w:shd w:val="clear" w:color="auto" w:fill="FFFFFF"/>
          <w:lang w:val="vi-VN"/>
        </w:rPr>
        <w:t>“</w:t>
      </w:r>
      <w:r w:rsidRPr="00F76356">
        <w:rPr>
          <w:rFonts w:cs="Times New Roman"/>
          <w:bdr w:val="none" w:sz="0" w:space="0" w:color="auto" w:frame="1"/>
          <w:shd w:val="clear" w:color="auto" w:fill="FFFFFF"/>
          <w:lang w:val="vi-VN"/>
        </w:rPr>
        <w:t>. Qua đây, Ngân hàng Nhà nước (NHNN) được giao nhiệm vụ nghiên cứu xây dựng cơ chế thí điểm về quản lý hoạt động cho vay ngang hàng.</w:t>
      </w:r>
    </w:p>
    <w:p w14:paraId="45ADC2EE" w14:textId="77777777" w:rsidR="007E055C" w:rsidRPr="00F76356" w:rsidRDefault="007E055C" w:rsidP="002D3EED">
      <w:pPr>
        <w:pStyle w:val="0NOIDUNG"/>
        <w:rPr>
          <w:rFonts w:cs="Times New Roman"/>
          <w:szCs w:val="26"/>
          <w:lang w:val="vi-VN"/>
        </w:rPr>
      </w:pPr>
      <w:r w:rsidRPr="00F76356">
        <w:rPr>
          <w:rFonts w:cs="Times New Roman"/>
          <w:szCs w:val="26"/>
          <w:bdr w:val="none" w:sz="0" w:space="0" w:color="auto" w:frame="1"/>
          <w:lang w:val="vi-VN"/>
        </w:rPr>
        <w:t>Nhận thức được tầm quan trọng của chuyển đổi số trong phát triển kinh tế cũng như ngành Ngân hàng, Thống đốc NHNN ký </w:t>
      </w:r>
      <w:r w:rsidRPr="00F76356">
        <w:rPr>
          <w:rFonts w:cs="Times New Roman"/>
          <w:szCs w:val="26"/>
          <w:lang w:val="vi-VN"/>
        </w:rPr>
        <w:t>Quyết định 810/QĐ-NHNN ngày 11/5/2021</w:t>
      </w:r>
      <w:r w:rsidRPr="00F76356">
        <w:rPr>
          <w:rFonts w:cs="Times New Roman"/>
          <w:szCs w:val="26"/>
          <w:bdr w:val="none" w:sz="0" w:space="0" w:color="auto" w:frame="1"/>
          <w:lang w:val="vi-VN"/>
        </w:rPr>
        <w:t> phê duyệt </w:t>
      </w:r>
      <w:r w:rsidRPr="00F76356">
        <w:rPr>
          <w:rFonts w:cs="Times New Roman"/>
          <w:b/>
          <w:bCs/>
          <w:szCs w:val="26"/>
          <w:bdr w:val="none" w:sz="0" w:space="0" w:color="auto" w:frame="1"/>
          <w:lang w:val="vi-VN"/>
        </w:rPr>
        <w:t>“</w:t>
      </w:r>
      <w:hyperlink r:id="rId9" w:tgtFrame="_blank" w:history="1">
        <w:r w:rsidRPr="00F76356">
          <w:rPr>
            <w:rStyle w:val="Hyperlink"/>
            <w:rFonts w:cs="Times New Roman"/>
            <w:color w:val="auto"/>
            <w:szCs w:val="26"/>
            <w:bdr w:val="none" w:sz="0" w:space="0" w:color="auto" w:frame="1"/>
            <w:lang w:val="vi-VN"/>
          </w:rPr>
          <w:t>Kế hoạch chuyển đổi số ngành Ngân hàng đến năm 2025, định hướng đến năm 2030</w:t>
        </w:r>
      </w:hyperlink>
      <w:r w:rsidRPr="00F76356">
        <w:rPr>
          <w:rFonts w:cs="Times New Roman"/>
          <w:b/>
          <w:bCs/>
          <w:szCs w:val="26"/>
          <w:bdr w:val="none" w:sz="0" w:space="0" w:color="auto" w:frame="1"/>
          <w:lang w:val="vi-VN"/>
        </w:rPr>
        <w:t>”</w:t>
      </w:r>
      <w:r w:rsidRPr="00F76356">
        <w:rPr>
          <w:rFonts w:cs="Times New Roman"/>
          <w:szCs w:val="26"/>
          <w:bdr w:val="none" w:sz="0" w:space="0" w:color="auto" w:frame="1"/>
          <w:lang w:val="vi-VN"/>
        </w:rPr>
        <w:t>. Thể hiện định hướng trong việc phát triển các dịch vụ tài chính số như: chỉ tiêu về tỷ lệ quyết định giải ngân, cho vay của Ngân hàng Thương mại (NHTM)/ Công ty tài chính đối với các khoản vay nhỏ lẻ, vay tiêu dùng của KH cá nhân được thực hiện theo hướng số hóa – tự động, đến năm 2025 đạt tối thiểu 50% và đến năm 2030 đạt tối thiểu 70%.</w:t>
      </w:r>
    </w:p>
    <w:p w14:paraId="361C014C" w14:textId="77777777" w:rsidR="007E055C" w:rsidRPr="00F76356" w:rsidRDefault="007E055C" w:rsidP="002D3EED">
      <w:pPr>
        <w:pStyle w:val="0NOIDUNG"/>
        <w:rPr>
          <w:rFonts w:cs="Times New Roman"/>
          <w:szCs w:val="26"/>
          <w:bdr w:val="none" w:sz="0" w:space="0" w:color="auto" w:frame="1"/>
          <w:lang w:val="vi-VN"/>
        </w:rPr>
      </w:pPr>
      <w:r w:rsidRPr="00F76356">
        <w:rPr>
          <w:rFonts w:cs="Times New Roman"/>
          <w:szCs w:val="26"/>
          <w:bdr w:val="none" w:sz="0" w:space="0" w:color="auto" w:frame="1"/>
          <w:lang w:val="vi-VN"/>
        </w:rPr>
        <w:t>Đây là </w:t>
      </w:r>
      <w:r w:rsidRPr="00F76356">
        <w:rPr>
          <w:rFonts w:cs="Times New Roman"/>
          <w:szCs w:val="26"/>
          <w:lang w:val="vi-VN"/>
        </w:rPr>
        <w:t>cột mốc đánh dấu rõ ràng nhất về kế hoạch chuyển đổi số ngành Ngân hàng</w:t>
      </w:r>
      <w:r w:rsidRPr="00F76356">
        <w:rPr>
          <w:rFonts w:cs="Times New Roman"/>
          <w:szCs w:val="26"/>
          <w:bdr w:val="none" w:sz="0" w:space="0" w:color="auto" w:frame="1"/>
          <w:lang w:val="vi-VN"/>
        </w:rPr>
        <w:t>, có ý nghĩa quan trọng giúp xác định rõ định hướng, kế hoạch triển khai của toàn ngành trong xu thế chuyển đổi số nhất là đối với cơ chế cho vay ngang hàng.</w:t>
      </w:r>
    </w:p>
    <w:p w14:paraId="6B6A9C78" w14:textId="0318D02A" w:rsidR="007E055C" w:rsidRPr="00F76356" w:rsidRDefault="00D66763" w:rsidP="002D3EED">
      <w:pPr>
        <w:pStyle w:val="0NOIDUNG"/>
        <w:rPr>
          <w:rFonts w:cs="Times New Roman"/>
          <w:b/>
          <w:lang w:val="vi-VN"/>
        </w:rPr>
      </w:pPr>
      <w:r w:rsidRPr="00F76356">
        <w:rPr>
          <w:rFonts w:cs="Times New Roman"/>
          <w:b/>
          <w:bdr w:val="none" w:sz="0" w:space="0" w:color="auto" w:frame="1"/>
          <w:lang w:val="vi-VN"/>
        </w:rPr>
        <w:t xml:space="preserve">2. </w:t>
      </w:r>
      <w:r w:rsidR="007E055C" w:rsidRPr="00F76356">
        <w:rPr>
          <w:rFonts w:cs="Times New Roman"/>
          <w:b/>
          <w:bdr w:val="none" w:sz="0" w:space="0" w:color="auto" w:frame="1"/>
          <w:lang w:val="vi-VN"/>
        </w:rPr>
        <w:t>Mục đích nghiên cứu.</w:t>
      </w:r>
    </w:p>
    <w:p w14:paraId="74019BF4" w14:textId="77777777" w:rsidR="007E055C" w:rsidRPr="00FE4250" w:rsidRDefault="007E055C" w:rsidP="002D3EED">
      <w:pPr>
        <w:pStyle w:val="0NOIDUNG"/>
        <w:rPr>
          <w:rFonts w:cs="Times New Roman"/>
          <w:lang w:val="vi-VN"/>
        </w:rPr>
      </w:pPr>
      <w:r w:rsidRPr="00F76356">
        <w:rPr>
          <w:rFonts w:cs="Times New Roman"/>
          <w:bdr w:val="none" w:sz="0" w:space="0" w:color="auto" w:frame="1"/>
          <w:lang w:val="vi-VN"/>
        </w:rPr>
        <w:t xml:space="preserve">Xu thế phát triển P2P Lending được đánh giá là rất tiềm năng tại Việt Nam. Song song với sự phát triển này, cần khuyến khích </w:t>
      </w:r>
      <w:r w:rsidRPr="00FE4250">
        <w:rPr>
          <w:rFonts w:cs="Times New Roman"/>
          <w:bdr w:val="none" w:sz="0" w:space="0" w:color="auto" w:frame="1"/>
          <w:lang w:val="vi-VN"/>
        </w:rPr>
        <w:t>hoạt động P2P Lending an toàn, trở thành kênh cung ứng vốn hiệu quả cho khách hàng nói chung, doanh nghiệp nhỏ và vừa nói riêng. Những định hướng được coi là cốt lõi để đạt được ổn định hoạt động cho vay ngang hàng tại Việt Nam:</w:t>
      </w:r>
    </w:p>
    <w:p w14:paraId="7CC8E349" w14:textId="77777777" w:rsidR="007E055C" w:rsidRPr="00FE4250" w:rsidRDefault="007E055C" w:rsidP="002D3EED">
      <w:pPr>
        <w:pStyle w:val="0NOIDUNG"/>
        <w:rPr>
          <w:rFonts w:cs="Times New Roman"/>
          <w:spacing w:val="3"/>
          <w:lang w:val="vi-VN"/>
        </w:rPr>
      </w:pPr>
      <w:r w:rsidRPr="00FE4250">
        <w:rPr>
          <w:rFonts w:cs="Times New Roman"/>
          <w:b/>
          <w:bCs/>
          <w:spacing w:val="3"/>
          <w:bdr w:val="none" w:sz="0" w:space="0" w:color="auto" w:frame="1"/>
          <w:lang w:val="vi-VN"/>
        </w:rPr>
        <w:t>Định nghĩa được chính xác P2P Lending: </w:t>
      </w:r>
      <w:r w:rsidRPr="00FE4250">
        <w:rPr>
          <w:rFonts w:cs="Times New Roman"/>
          <w:spacing w:val="3"/>
          <w:bdr w:val="none" w:sz="0" w:space="0" w:color="auto" w:frame="1"/>
          <w:lang w:val="vi-VN"/>
        </w:rPr>
        <w:t xml:space="preserve">Hành động này nhằm xác định được khung pháp lý quản lý phù hợp (cơ quan quản lý là NHNN, áp dụng các Luật liên quan). Trước tiên. cần có cơ chế quản lý thử nghiệm (Regulatory Sandbox), nhằm lựa chọn mô hình vận hành đảm bảo an toàn cho các bên tham gia (có thể tham khảo mô </w:t>
      </w:r>
      <w:r w:rsidRPr="00FE4250">
        <w:rPr>
          <w:rFonts w:cs="Times New Roman"/>
          <w:spacing w:val="3"/>
          <w:bdr w:val="none" w:sz="0" w:space="0" w:color="auto" w:frame="1"/>
          <w:lang w:val="vi-VN"/>
        </w:rPr>
        <w:lastRenderedPageBreak/>
        <w:t>hình Nhật Bản, Mỹ). Tiếp theo, cần cân nhắc hoàn thiện các quy định, giải pháp về dữ liệu, cơ chế chia sẻ thông tin, dữ liệu giữa tổ chức tín dụng và Fintech, Bigtech… để tạo điều kiện cho phát triển hệ sinh thái tài chính số nói chung và P2P Lending nói riêng.</w:t>
      </w:r>
    </w:p>
    <w:p w14:paraId="41C46D44" w14:textId="77777777" w:rsidR="007E055C" w:rsidRPr="00FE4250" w:rsidRDefault="007E055C" w:rsidP="002D3EED">
      <w:pPr>
        <w:pStyle w:val="0NOIDUNG"/>
        <w:rPr>
          <w:rFonts w:cs="Times New Roman"/>
          <w:spacing w:val="3"/>
          <w:lang w:val="vi-VN"/>
        </w:rPr>
      </w:pPr>
      <w:r w:rsidRPr="00FE4250">
        <w:rPr>
          <w:rFonts w:cs="Times New Roman"/>
          <w:b/>
          <w:bCs/>
          <w:spacing w:val="3"/>
          <w:bdr w:val="none" w:sz="0" w:space="0" w:color="auto" w:frame="1"/>
          <w:lang w:val="vi-VN"/>
        </w:rPr>
        <w:t>Tiêu chuẩn dành cho công ty cung cấp nền tảng P2P Lending:</w:t>
      </w:r>
      <w:r w:rsidRPr="00FE4250">
        <w:rPr>
          <w:rFonts w:cs="Times New Roman"/>
          <w:spacing w:val="3"/>
          <w:bdr w:val="none" w:sz="0" w:space="0" w:color="auto" w:frame="1"/>
          <w:lang w:val="vi-VN"/>
        </w:rPr>
        <w:t> Dựa trên cơ sở tiêu chuẩn nhằm xác định vốn tối thiểu, năng lực về công nghệ, tiêu chuẩn đội ngũ quản lý và nhân viên,… Quan trọng, các công ty P2P Lending khi thành lập phải xây dựng được một hệ thống chấm điểm rủi ro tín dụng công khai, minh bạch. Và các yêu cầu về quản lý rủi ro lan truyền đến thị trường tài chính. Ngoài ra, khuyến khích các công ty P2P Lending có cơ chế phòng vệ hợp lý thông qua Quỹ dự phòng rủi ro tín dụng. </w:t>
      </w:r>
    </w:p>
    <w:p w14:paraId="27A0AC63" w14:textId="77777777" w:rsidR="007E055C" w:rsidRPr="00FE4250" w:rsidRDefault="007E055C" w:rsidP="002D3EED">
      <w:pPr>
        <w:pStyle w:val="0NOIDUNG"/>
        <w:rPr>
          <w:rFonts w:cs="Times New Roman"/>
          <w:lang w:val="vi-VN"/>
        </w:rPr>
      </w:pPr>
      <w:r w:rsidRPr="00FE4250">
        <w:rPr>
          <w:rFonts w:cs="Times New Roman"/>
          <w:b/>
          <w:bCs/>
          <w:bdr w:val="none" w:sz="0" w:space="0" w:color="auto" w:frame="1"/>
          <w:lang w:val="vi-VN"/>
        </w:rPr>
        <w:t>Cơ chế giám sát, kiểm tra hoạt động định kỳ</w:t>
      </w:r>
      <w:r w:rsidRPr="00FE4250">
        <w:rPr>
          <w:rFonts w:cs="Times New Roman"/>
          <w:bdr w:val="none" w:sz="0" w:space="0" w:color="auto" w:frame="1"/>
          <w:lang w:val="vi-VN"/>
        </w:rPr>
        <w:t>: Cần có các quy định về chế độ báo cáo, tuân thủ các yêu cầu về vốn điều lệ, giới hạn vốn huy động, minh bạch thông tin, tiêu chuẩn đội ngũ cán bộ chủ chốt, hệ thống công nghệ thông tin và quản lý rủi ro, quỹ phòng ngừa rủi ro, tính tuân thủ,… Mục đích chính là đảm bảo an toàn hoạt động đối với công ty P2P Lending. </w:t>
      </w:r>
    </w:p>
    <w:p w14:paraId="5A020DE8" w14:textId="77777777" w:rsidR="007E055C" w:rsidRPr="00FE4250" w:rsidRDefault="007E055C" w:rsidP="002D3EED">
      <w:pPr>
        <w:pStyle w:val="0NOIDUNG"/>
        <w:rPr>
          <w:rFonts w:cs="Times New Roman"/>
          <w:lang w:val="vi-VN"/>
        </w:rPr>
      </w:pPr>
      <w:r w:rsidRPr="00FE4250">
        <w:rPr>
          <w:rFonts w:cs="Times New Roman"/>
          <w:b/>
          <w:bCs/>
          <w:bdr w:val="none" w:sz="0" w:space="0" w:color="auto" w:frame="1"/>
          <w:lang w:val="vi-VN"/>
        </w:rPr>
        <w:t>Quy định phía nhà đầu tư:</w:t>
      </w:r>
      <w:r w:rsidRPr="00FE4250">
        <w:rPr>
          <w:rFonts w:cs="Times New Roman"/>
          <w:bdr w:val="none" w:sz="0" w:space="0" w:color="auto" w:frame="1"/>
          <w:lang w:val="vi-VN"/>
        </w:rPr>
        <w:t> Về phía nhà đầu tư, cần nghiên cứu và áp dụng các biện pháp quản lý và bảo vệ quyền lợi nhà đầu tư để tránh các hệ lụy kinh tế – xã hội trong trường hợp xảy ra rủi ro. Cụ thể là thiết lập và giám sát các quy định về tuân thủ các giới hạn đầu tư, về giới hạn góp vốn của mỗi nhà đầu tư, quy định về quyền tiếp cận thông tin,…</w:t>
      </w:r>
    </w:p>
    <w:p w14:paraId="1BDC631D" w14:textId="77777777" w:rsidR="007E055C" w:rsidRPr="00FE4250" w:rsidRDefault="007E055C" w:rsidP="002D3EED">
      <w:pPr>
        <w:pStyle w:val="0NOIDUNG"/>
        <w:rPr>
          <w:rFonts w:cs="Times New Roman"/>
          <w:lang w:val="vi-VN"/>
        </w:rPr>
      </w:pPr>
      <w:r w:rsidRPr="00FE4250">
        <w:rPr>
          <w:rFonts w:cs="Times New Roman"/>
          <w:b/>
          <w:bCs/>
          <w:bdr w:val="none" w:sz="0" w:space="0" w:color="auto" w:frame="1"/>
          <w:lang w:val="vi-VN"/>
        </w:rPr>
        <w:t>Nâng cấp hạ tầng CNTT quốc gia</w:t>
      </w:r>
      <w:r w:rsidRPr="00FE4250">
        <w:rPr>
          <w:rFonts w:cs="Times New Roman"/>
          <w:bdr w:val="none" w:sz="0" w:space="0" w:color="auto" w:frame="1"/>
          <w:lang w:val="vi-VN"/>
        </w:rPr>
        <w:t>: Nhằm tạo nền tảng quản lý P2P Lending, đồng thời hỗ trợ cho cả thị trường tài chính – ngân hàng số nói chung. Chính phủ cũng như các bộ, ngành liên quan cần chú trọng nâng cấp hạ tầng công nghệ thông tin quốc gia, nhất là cơ sở dữ liệu định danh cá nhân, chính quyền điện tử… Đặc biệt là yêu cầu về quản lý rủi ro công nghệ thông tin của hệ thống tài chính – ngân hàng.</w:t>
      </w:r>
    </w:p>
    <w:p w14:paraId="70D2FD3D" w14:textId="77777777" w:rsidR="007E055C" w:rsidRPr="00FE4250" w:rsidRDefault="007E055C" w:rsidP="002D3EED">
      <w:pPr>
        <w:pStyle w:val="0NOIDUNG"/>
        <w:rPr>
          <w:rFonts w:cs="Times New Roman"/>
          <w:lang w:val="vi-VN"/>
        </w:rPr>
      </w:pPr>
      <w:r w:rsidRPr="00FE4250">
        <w:rPr>
          <w:rFonts w:cs="Times New Roman"/>
          <w:b/>
          <w:bCs/>
          <w:bdr w:val="none" w:sz="0" w:space="0" w:color="auto" w:frame="1"/>
          <w:lang w:val="vi-VN"/>
        </w:rPr>
        <w:t>Kế hoạch giáo dục tài chính công nghệ cho người dân</w:t>
      </w:r>
      <w:r w:rsidRPr="00FE4250">
        <w:rPr>
          <w:rFonts w:cs="Times New Roman"/>
          <w:bdr w:val="none" w:sz="0" w:space="0" w:color="auto" w:frame="1"/>
          <w:lang w:val="vi-VN"/>
        </w:rPr>
        <w:t>: Không chỉ riêng lĩnh vực Cho vay ngang hàng, NHNN cần chỉ đạo, phối hợp với các hiệp hội, tổ chức xã hội đẩy mạnh giáo dục tài chính, đặc biệt là tiếp cận với các sản phẩm tài chính công nghệ. Mục đích là đẩy lùi rủi ro khi sử dụng dịch vụ này cũng như nâng cao các kiến thức cơ bản về tài chính, ngân hàng khác.</w:t>
      </w:r>
    </w:p>
    <w:p w14:paraId="694A05B8" w14:textId="45770C1F" w:rsidR="007E055C" w:rsidRPr="00FE4250" w:rsidRDefault="00D66763" w:rsidP="002D3EED">
      <w:pPr>
        <w:pStyle w:val="0NOIDUNG"/>
        <w:rPr>
          <w:rFonts w:cs="Times New Roman"/>
          <w:b/>
          <w:lang w:val="vi-VN"/>
        </w:rPr>
      </w:pPr>
      <w:r w:rsidRPr="00FE4250">
        <w:rPr>
          <w:rFonts w:cs="Times New Roman"/>
          <w:b/>
          <w:lang w:val="vi-VN"/>
        </w:rPr>
        <w:lastRenderedPageBreak/>
        <w:t xml:space="preserve">3. </w:t>
      </w:r>
      <w:r w:rsidR="007E055C" w:rsidRPr="00FE4250">
        <w:rPr>
          <w:rFonts w:cs="Times New Roman"/>
          <w:b/>
          <w:lang w:val="vi-VN"/>
        </w:rPr>
        <w:t>Phương pháp nghiên cứu.</w:t>
      </w:r>
    </w:p>
    <w:p w14:paraId="57CA47B9" w14:textId="77777777" w:rsidR="007E055C" w:rsidRPr="00FE4250" w:rsidRDefault="007E055C" w:rsidP="002D3EED">
      <w:pPr>
        <w:pStyle w:val="0NOIDUNG"/>
        <w:rPr>
          <w:rFonts w:cs="Times New Roman"/>
          <w:lang w:val="vi-VN"/>
        </w:rPr>
      </w:pPr>
      <w:r w:rsidRPr="00FE4250">
        <w:rPr>
          <w:rFonts w:cs="Times New Roman"/>
          <w:lang w:val="vi-VN"/>
        </w:rPr>
        <w:t>Phương pháp nghiên cứu định tính</w:t>
      </w:r>
    </w:p>
    <w:p w14:paraId="062E62EC" w14:textId="34E09004" w:rsidR="007E055C" w:rsidRPr="00FE4250" w:rsidRDefault="007E055C" w:rsidP="002D3EED">
      <w:pPr>
        <w:pStyle w:val="0NOIDUNG"/>
        <w:rPr>
          <w:rFonts w:cs="Times New Roman"/>
          <w:lang w:val="vi-VN"/>
        </w:rPr>
      </w:pPr>
      <w:r w:rsidRPr="00FE4250">
        <w:rPr>
          <w:rFonts w:cs="Times New Roman"/>
          <w:lang w:val="vi-VN"/>
        </w:rPr>
        <w:t>Phương pháp nghiên cứu dựa trên phân tích và tổng hợp dữ liệu.</w:t>
      </w:r>
    </w:p>
    <w:p w14:paraId="3C959BA0" w14:textId="089833A7" w:rsidR="007E055C" w:rsidRPr="00FE4250" w:rsidRDefault="00D66763" w:rsidP="002D3EED">
      <w:pPr>
        <w:pStyle w:val="0NOIDUNG"/>
        <w:rPr>
          <w:rFonts w:cs="Times New Roman"/>
          <w:b/>
          <w:lang w:val="vi-VN"/>
        </w:rPr>
      </w:pPr>
      <w:r w:rsidRPr="00FE4250">
        <w:rPr>
          <w:rFonts w:cs="Times New Roman"/>
          <w:b/>
          <w:lang w:val="vi-VN"/>
        </w:rPr>
        <w:t xml:space="preserve">4. </w:t>
      </w:r>
      <w:r w:rsidR="007E055C" w:rsidRPr="00FE4250">
        <w:rPr>
          <w:rFonts w:cs="Times New Roman"/>
          <w:b/>
          <w:lang w:val="vi-VN"/>
        </w:rPr>
        <w:t>Kết cấu bài nghiên cứu.</w:t>
      </w:r>
    </w:p>
    <w:p w14:paraId="52802330" w14:textId="77777777" w:rsidR="007E055C" w:rsidRPr="00FE4250" w:rsidRDefault="007E055C" w:rsidP="002D3EED">
      <w:pPr>
        <w:pStyle w:val="0NOIDUNG"/>
        <w:rPr>
          <w:rFonts w:cs="Times New Roman"/>
          <w:lang w:val="vi-VN"/>
        </w:rPr>
      </w:pPr>
      <w:r w:rsidRPr="00FE4250">
        <w:rPr>
          <w:rFonts w:cs="Times New Roman"/>
          <w:lang w:val="vi-VN"/>
        </w:rPr>
        <w:t>Mở đầu</w:t>
      </w:r>
    </w:p>
    <w:p w14:paraId="18D2CF04" w14:textId="77777777" w:rsidR="007E055C" w:rsidRPr="00FE4250" w:rsidRDefault="007E055C" w:rsidP="002D3EED">
      <w:pPr>
        <w:pStyle w:val="0NOIDUNG"/>
        <w:rPr>
          <w:rFonts w:cs="Times New Roman"/>
          <w:lang w:val="vi-VN"/>
        </w:rPr>
      </w:pPr>
      <w:r w:rsidRPr="00FE4250">
        <w:rPr>
          <w:rFonts w:cs="Times New Roman"/>
          <w:lang w:val="vi-VN"/>
        </w:rPr>
        <w:t>Nội dung bài nghiên cứu</w:t>
      </w:r>
    </w:p>
    <w:p w14:paraId="6A5C997A" w14:textId="77777777" w:rsidR="007E055C" w:rsidRPr="00FE4250" w:rsidRDefault="007E055C" w:rsidP="002D3EED">
      <w:pPr>
        <w:pStyle w:val="0NOIDUNG"/>
        <w:rPr>
          <w:rFonts w:cs="Times New Roman"/>
          <w:lang w:val="vi-VN"/>
        </w:rPr>
      </w:pPr>
      <w:r w:rsidRPr="00FE4250">
        <w:rPr>
          <w:rFonts w:cs="Times New Roman"/>
          <w:lang w:val="vi-VN"/>
        </w:rPr>
        <w:t>Kết luận của bài nghiên cứu</w:t>
      </w:r>
    </w:p>
    <w:p w14:paraId="7D78D307" w14:textId="77777777" w:rsidR="007E055C" w:rsidRPr="00FE4250" w:rsidRDefault="007E055C" w:rsidP="002D3EED">
      <w:pPr>
        <w:pStyle w:val="0NOIDUNG"/>
        <w:rPr>
          <w:rFonts w:cs="Times New Roman"/>
          <w:lang w:val="vi-VN"/>
        </w:rPr>
      </w:pPr>
      <w:r w:rsidRPr="00FE4250">
        <w:rPr>
          <w:rFonts w:cs="Times New Roman"/>
          <w:lang w:val="vi-VN"/>
        </w:rPr>
        <w:t xml:space="preserve">Mục lục tham khảo. </w:t>
      </w:r>
    </w:p>
    <w:p w14:paraId="43C9BCBF" w14:textId="77777777" w:rsidR="002D3EED" w:rsidRPr="00FE4250" w:rsidRDefault="002D3EED">
      <w:pPr>
        <w:rPr>
          <w:rFonts w:ascii="Times New Roman" w:eastAsiaTheme="minorHAnsi" w:hAnsi="Times New Roman" w:cs="Times New Roman"/>
          <w:b/>
          <w:sz w:val="28"/>
          <w:lang w:val="vi-VN" w:eastAsia="en-US"/>
        </w:rPr>
      </w:pPr>
      <w:r w:rsidRPr="00FE4250">
        <w:rPr>
          <w:rFonts w:ascii="Times New Roman" w:hAnsi="Times New Roman" w:cs="Times New Roman"/>
          <w:lang w:val="vi-VN"/>
        </w:rPr>
        <w:br w:type="page"/>
      </w:r>
    </w:p>
    <w:p w14:paraId="1F44C176" w14:textId="40637D46" w:rsidR="007E055C" w:rsidRPr="00FE4250" w:rsidRDefault="007E055C" w:rsidP="00D66763">
      <w:pPr>
        <w:pStyle w:val="0LV1"/>
        <w:rPr>
          <w:rFonts w:cs="Times New Roman"/>
          <w:lang w:val="vi-VN"/>
        </w:rPr>
      </w:pPr>
      <w:bookmarkStart w:id="2" w:name="_Toc134387159"/>
      <w:r w:rsidRPr="00FE4250">
        <w:rPr>
          <w:rFonts w:cs="Times New Roman"/>
          <w:lang w:val="vi-VN"/>
        </w:rPr>
        <w:lastRenderedPageBreak/>
        <w:t>CHƯƠNG 1: LÝ LUẬN CHUNG VỀ HOẠT ĐỘNG CHO VAY NGANG HÀNG</w:t>
      </w:r>
      <w:bookmarkEnd w:id="2"/>
    </w:p>
    <w:p w14:paraId="2BBE808B" w14:textId="6561BA93" w:rsidR="007E055C" w:rsidRPr="00FE4250" w:rsidRDefault="00D66763" w:rsidP="00D66763">
      <w:pPr>
        <w:pStyle w:val="0LV2"/>
        <w:rPr>
          <w:rFonts w:cs="Times New Roman"/>
          <w:lang w:val="vi-VN"/>
        </w:rPr>
      </w:pPr>
      <w:bookmarkStart w:id="3" w:name="_Toc134387160"/>
      <w:r w:rsidRPr="00FE4250">
        <w:rPr>
          <w:rFonts w:cs="Times New Roman"/>
          <w:lang w:val="vi-VN"/>
        </w:rPr>
        <w:t xml:space="preserve">1.1 </w:t>
      </w:r>
      <w:r w:rsidR="007E055C" w:rsidRPr="00FE4250">
        <w:rPr>
          <w:rFonts w:cs="Times New Roman"/>
          <w:lang w:val="vi-VN"/>
        </w:rPr>
        <w:t>KHÁI NIỆM</w:t>
      </w:r>
      <w:bookmarkEnd w:id="3"/>
    </w:p>
    <w:p w14:paraId="46562292" w14:textId="77777777" w:rsidR="007E055C" w:rsidRPr="00FE4250" w:rsidRDefault="007E055C" w:rsidP="00D66763">
      <w:pPr>
        <w:pStyle w:val="0NOIDUNG"/>
        <w:rPr>
          <w:rFonts w:cs="Times New Roman"/>
          <w:lang w:val="vi-VN"/>
        </w:rPr>
      </w:pPr>
      <w:r w:rsidRPr="00FE4250">
        <w:rPr>
          <w:rFonts w:cs="Times New Roman"/>
          <w:lang w:val="vi-VN"/>
        </w:rPr>
        <w:t>Trong quá trình nghiên cứu và phát triển có rất nhiều định nghĩa khác nhau về cho vay ngang hàng.</w:t>
      </w:r>
    </w:p>
    <w:p w14:paraId="71791F37" w14:textId="77777777" w:rsidR="007E055C" w:rsidRPr="00FE4250" w:rsidRDefault="007E055C" w:rsidP="00D66763">
      <w:pPr>
        <w:pStyle w:val="0NOIDUNG"/>
        <w:rPr>
          <w:rFonts w:cs="Times New Roman"/>
          <w:shd w:val="clear" w:color="auto" w:fill="FFFFFF"/>
          <w:lang w:val="vi-VN"/>
        </w:rPr>
      </w:pPr>
      <w:r w:rsidRPr="00FE4250">
        <w:rPr>
          <w:rStyle w:val="Strong"/>
          <w:rFonts w:cs="Times New Roman"/>
          <w:szCs w:val="26"/>
          <w:lang w:val="vi-VN"/>
        </w:rPr>
        <w:t>Cho vay ngang hàng</w:t>
      </w:r>
      <w:r w:rsidRPr="00FE4250">
        <w:rPr>
          <w:rFonts w:cs="Times New Roman"/>
          <w:lang w:val="vi-VN"/>
        </w:rPr>
        <w:t> là hoạt động được thiết kế và xây dựng dựa trên nền tảng </w:t>
      </w:r>
      <w:r w:rsidRPr="00FE4250">
        <w:rPr>
          <w:rStyle w:val="Strong"/>
          <w:rFonts w:cs="Times New Roman"/>
          <w:szCs w:val="26"/>
          <w:lang w:val="vi-VN"/>
        </w:rPr>
        <w:t>công nghệ tài chính</w:t>
      </w:r>
      <w:r w:rsidRPr="00FE4250">
        <w:rPr>
          <w:rFonts w:cs="Times New Roman"/>
          <w:lang w:val="vi-VN"/>
        </w:rPr>
        <w:t> ( Tiếng Anh là Peer to Peer Lengding hay P2P Lending) được thiết kế và xây dựng trên hoạt động giao dịch trực tuyến kết nối trực tiếp giữa người đi vay và người cho vay mà không có sự thông qua của các   bên trung gian tài chính như tổ chức tín dụng.</w:t>
      </w:r>
      <w:r w:rsidRPr="00FE4250">
        <w:rPr>
          <w:rFonts w:eastAsia="Times New Roman" w:cs="Times New Roman"/>
          <w:lang w:val="vi-VN" w:eastAsia="vi-VN"/>
        </w:rPr>
        <w:t xml:space="preserve"> Hình thức cho vay P2P này tạo điều kiện thuận lợi và tăng hiệu quả trong việc đăng và tìm kiếm thông tin, cung cấp tất cả </w:t>
      </w:r>
      <w:r w:rsidRPr="00FE4250">
        <w:rPr>
          <w:rFonts w:cs="Times New Roman"/>
          <w:shd w:val="clear" w:color="auto" w:fill="FFFFFF"/>
          <w:lang w:val="vi-VN"/>
        </w:rPr>
        <w:t xml:space="preserve">các chức năng cần thiết để hoàn thành giao dịch (Brown, 2008). </w:t>
      </w:r>
    </w:p>
    <w:p w14:paraId="4EAF7B90" w14:textId="1BEBBD37" w:rsidR="007E055C" w:rsidRPr="00FE4250" w:rsidRDefault="007E055C" w:rsidP="00D66763">
      <w:pPr>
        <w:pStyle w:val="0NOIDUNG"/>
        <w:rPr>
          <w:rFonts w:cs="Times New Roman"/>
          <w:lang w:val="vi-VN"/>
        </w:rPr>
      </w:pPr>
      <w:r w:rsidRPr="00FE4250">
        <w:rPr>
          <w:rFonts w:cs="Times New Roman"/>
          <w:lang w:val="vi-VN"/>
        </w:rPr>
        <w:t>Theo Eugenia Omarini A (2018), nguồn gốc của cho vay ngang hàng cũng giống như việc cho vay cộng đồng đã diễn ra trên thế giới trong suốt nhiều năm từ những năm 1630 - 1640, tổ chức đầu tiên là Hội thân thiện - Friendly Societies hoạt động tại Anh. Các tổ chức này có nhiều đặc điểm giống hoạt động cho vay ngang hàng hiện tại, sau khi đăng ký, các tổ chức này đã cấp quyền cho các thành viên thanh gia hỗ trợ tài chính lẫn nhau. Và cho đến ngày nay, lợi thế cộng đồng đã tồn tại trong suốt bao nhiêu năm để các cá nhân tương trợ lẫn nhau về tài chính, và đó là sự tái hiện của hoạt động cho vay ngang hàng hiện tại. Tuy nhiên, với thế kỷ 21 và cuộc cách mạng 4.0, hoạt động cho vay ngang hàng được thực hiện trên nền cảng của công nghệ Internet.</w:t>
      </w:r>
    </w:p>
    <w:p w14:paraId="26C0232D" w14:textId="77777777" w:rsidR="00535681" w:rsidRPr="00FE4250" w:rsidRDefault="00535681" w:rsidP="00D66763">
      <w:pPr>
        <w:pStyle w:val="0NOIDUNG"/>
        <w:rPr>
          <w:rFonts w:eastAsia="Times New Roman" w:cs="Times New Roman"/>
          <w:lang w:val="vi-VN" w:eastAsia="vi-VN"/>
        </w:rPr>
      </w:pPr>
      <w:r w:rsidRPr="00FE4250">
        <w:rPr>
          <w:rFonts w:eastAsia="Times New Roman" w:cs="Times New Roman"/>
          <w:lang w:val="vi-VN" w:eastAsia="vi-VN"/>
        </w:rPr>
        <w:t>Theo Vụ Chính sách tiền tệ, Ngân hàng Nhà nước (NHNN) (2020), bản chất cho vay ngang hàng được hiểu là sự trao đổi tài chính trực tuyến, giữa các cá nhân hoặc tổ chức mà không thông qua trung gian trực tiếp như tổ chức tài chính truyền thống. Các ngân hàng có thể vẫn đóng một vai trò nhất định tùy từng luật pháp điều chỉnh ở mỗi quốc gia, các ngân hàng có thể hoạt động như các tổ chức lưu ký, cung cấp cho nền tảng các tài khoản của khách hàng và được xử lý trong nền tảng.</w:t>
      </w:r>
    </w:p>
    <w:p w14:paraId="341237BC" w14:textId="77777777" w:rsidR="00535681" w:rsidRPr="00FE4250" w:rsidRDefault="00535681" w:rsidP="00D66763">
      <w:pPr>
        <w:pStyle w:val="0NOIDUNG"/>
        <w:rPr>
          <w:rFonts w:eastAsia="Times New Roman" w:cs="Times New Roman"/>
          <w:lang w:val="vi-VN" w:eastAsia="vi-VN"/>
        </w:rPr>
      </w:pPr>
      <w:r w:rsidRPr="00FE4250">
        <w:rPr>
          <w:rFonts w:eastAsia="Times New Roman" w:cs="Times New Roman"/>
          <w:lang w:val="vi-VN" w:eastAsia="vi-VN"/>
        </w:rPr>
        <w:t>Từ những định nghĩa ta có định nghĩa tổng quát về Cho vay ngang hàng đó là:</w:t>
      </w:r>
    </w:p>
    <w:p w14:paraId="39F0FE97" w14:textId="27D4A915" w:rsidR="00535681" w:rsidRPr="00FE4250" w:rsidRDefault="00535681" w:rsidP="00D66763">
      <w:pPr>
        <w:pStyle w:val="0NOIDUNG"/>
        <w:rPr>
          <w:rFonts w:eastAsia="Times New Roman" w:cs="Times New Roman"/>
          <w:lang w:val="vi-VN" w:eastAsia="vi-VN"/>
        </w:rPr>
      </w:pPr>
      <w:r w:rsidRPr="00FE4250">
        <w:rPr>
          <w:rFonts w:eastAsia="Times New Roman" w:cs="Times New Roman"/>
          <w:lang w:val="vi-VN" w:eastAsia="vi-VN"/>
        </w:rPr>
        <w:lastRenderedPageBreak/>
        <w:t>Cho vay ngang hàng là hoạt động kết nối đầu tư trực tiếp những người đi vay và người cho vay, thường diễn ra trên web của các công ty Cho vay ngang hàng.</w:t>
      </w:r>
    </w:p>
    <w:p w14:paraId="6D63B1C8" w14:textId="79CA6A6C" w:rsidR="00535681" w:rsidRPr="00FE4250" w:rsidRDefault="00D66763" w:rsidP="00D66763">
      <w:pPr>
        <w:pStyle w:val="0LV2"/>
        <w:rPr>
          <w:rFonts w:cs="Times New Roman"/>
          <w:lang w:val="vi-VN"/>
        </w:rPr>
      </w:pPr>
      <w:bookmarkStart w:id="4" w:name="_Toc134387161"/>
      <w:r w:rsidRPr="00FE4250">
        <w:rPr>
          <w:rFonts w:cs="Times New Roman"/>
          <w:lang w:val="vi-VN"/>
        </w:rPr>
        <w:t xml:space="preserve">1.2 </w:t>
      </w:r>
      <w:r w:rsidR="00535681" w:rsidRPr="00FE4250">
        <w:rPr>
          <w:rFonts w:cs="Times New Roman"/>
          <w:lang w:val="vi-VN"/>
        </w:rPr>
        <w:t>Lịch sử phát triển</w:t>
      </w:r>
      <w:bookmarkEnd w:id="4"/>
    </w:p>
    <w:p w14:paraId="647BF276" w14:textId="77777777" w:rsidR="00535681" w:rsidRPr="00FE4250" w:rsidRDefault="00535681" w:rsidP="00D66763">
      <w:pPr>
        <w:pStyle w:val="0NOIDUNG"/>
        <w:rPr>
          <w:rFonts w:cs="Times New Roman"/>
          <w:lang w:val="vi-VN"/>
        </w:rPr>
      </w:pPr>
      <w:r w:rsidRPr="00FE4250">
        <w:rPr>
          <w:rFonts w:cs="Times New Roman"/>
          <w:lang w:val="vi-VN"/>
        </w:rPr>
        <w:t xml:space="preserve">Hình thức cho vay ngang hàng xuất hiện từ đầu những năm 1700, khi tác giả Jonathan Swift người Ailen tại cuốn sách nổi tiếng Travels Jonathan đã cho nhiều người vay những số tiền nhỏ khác nhau. Trong suốt thế kỉ 18 và 19, cho vay ngang hàng đã trở thành một trong những phương thức tín dụng được sử dụng rộng rãi nhất ở Châu Âu. </w:t>
      </w:r>
    </w:p>
    <w:p w14:paraId="0211969A" w14:textId="77777777" w:rsidR="00535681" w:rsidRPr="00FE4250" w:rsidRDefault="00535681" w:rsidP="00D66763">
      <w:pPr>
        <w:pStyle w:val="0NOIDUNG"/>
        <w:rPr>
          <w:rFonts w:cs="Times New Roman"/>
          <w:lang w:val="vi-VN"/>
        </w:rPr>
      </w:pPr>
      <w:r w:rsidRPr="00FE4250">
        <w:rPr>
          <w:rFonts w:cs="Times New Roman"/>
          <w:lang w:val="vi-VN"/>
        </w:rPr>
        <w:t>Cho vay ngang hàng xuất hiện trước khi ngân hàng ra đời, tuy nhiên do thông tin còn hạn chế nên người đi vay và người cho vay có thể tự kết nối trức tiếp với nhau . Do đó cho vay nganh hàng trở nên không phổ biến ở thế kỉ 20 bởi sự phát triển mạnh mẽ của hệ thống ngân hàng. Nhưng cho đến những năm gần đây cho vay ngang hàng đã bùng nổ trở lại nhờ sự phát triển của mạng xã hội Internet.</w:t>
      </w:r>
    </w:p>
    <w:p w14:paraId="77CB3D7A" w14:textId="77777777" w:rsidR="00535681" w:rsidRPr="00FE4250" w:rsidRDefault="00535681" w:rsidP="00D66763">
      <w:pPr>
        <w:pStyle w:val="0NOIDUNG"/>
        <w:rPr>
          <w:rFonts w:cs="Times New Roman"/>
          <w:lang w:val="vi-VN"/>
        </w:rPr>
      </w:pPr>
      <w:r w:rsidRPr="00FE4250">
        <w:rPr>
          <w:rFonts w:cs="Times New Roman"/>
          <w:lang w:val="vi-VN"/>
        </w:rPr>
        <w:t>Cho vay ngang hàng chỉ tiến hành trong một nhóm hoặc bởi một cá nhân nên được vận hành trên một hệ thống khá đơn giản cũng như chỉ giao dịch một số khoản vay cơ bản được gọi là cho vay ngang hàng vậy lý ( Physical Peer – To – Peer ). Hình thức vay này được thực hiện trong cùng một nhóm như cùng một tôn giáo, cùng một gia đình hay một cộng động cùng quen biết nhau. Quy mô cho vay nhỏ nhưng khá thu hút được sự quan tâm từ công chúng. Với sự phát triển của hệ thống công nghệ thông tin, một hình thức mới đã tài trợ vốn ra đời vào năm 2005, gọi là cho vay ngang hàng trực tuyến ( Online Peer- To- Peer Lending ). Cho vay ngang hàng cho phép bên  tham gia có thể khớp các yêu cầu vay và cho vay vốn thông qua nền tảng trực tuyến ( Online platform ) mà không cần sự can thiếp của bên trung gian nào. Hình thức này trở thành một phần bổ túc quan trọng trong hệ thống tài chính chính truyền thống và phát triển mạnh mẽ khắp thế giới trong những năm gần đây.</w:t>
      </w:r>
    </w:p>
    <w:p w14:paraId="4B025F9E" w14:textId="77777777" w:rsidR="00535681" w:rsidRPr="00FE4250" w:rsidRDefault="00535681" w:rsidP="00D66763">
      <w:pPr>
        <w:pStyle w:val="0NOIDUNG"/>
        <w:rPr>
          <w:rFonts w:cs="Times New Roman"/>
          <w:lang w:val="vi-VN"/>
        </w:rPr>
      </w:pPr>
      <w:r w:rsidRPr="00FE4250">
        <w:rPr>
          <w:rFonts w:cs="Times New Roman"/>
          <w:lang w:val="vi-VN"/>
        </w:rPr>
        <w:t xml:space="preserve">Cho vay ngang hàng chỉ thực sự được nhận biết nhờ vào sự ra mắt của hai công ty là Zopa của Anh vào năm 2005 và Prosper của Mỹ vào năm 2006 hay Yinxin vào năm 2006 ở Trung Quốc. David Nicholson- Người đồng sáng lập và chủ mưu của Zopa, cho biết việc hình thành mô hình kinh doanh này đến từ việc hiểu quá khứ tiền ngân hàng và các nguyên tắc cơ bản của mối quan hệ người cho vay- người đi vay. Đây là những công ty cho vay ngang hàng đầu tiên trên thế giới, nơi người đi vay và người cho vay </w:t>
      </w:r>
      <w:r w:rsidRPr="00FE4250">
        <w:rPr>
          <w:rFonts w:cs="Times New Roman"/>
          <w:lang w:val="vi-VN"/>
        </w:rPr>
        <w:lastRenderedPageBreak/>
        <w:t>không cần thông qua ngân hàng mà vẫn có thể giao dịch trực tiếp với nhau thông qua nên tàng cho vay ngang hàng. Ngoài ra năm 2007 cũng có sự ra đời của các nền tảng khác như PaiPaiDai, QiFang, Wokal ở Trung Quốc hay Smava ở Đức.</w:t>
      </w:r>
    </w:p>
    <w:p w14:paraId="351B0957" w14:textId="77777777" w:rsidR="00535681" w:rsidRPr="00FE4250" w:rsidRDefault="00535681" w:rsidP="00D66763">
      <w:pPr>
        <w:pStyle w:val="0NOIDUNG"/>
        <w:rPr>
          <w:rFonts w:cs="Times New Roman"/>
          <w:lang w:val="vi-VN"/>
        </w:rPr>
      </w:pPr>
      <w:r w:rsidRPr="00FE4250">
        <w:rPr>
          <w:rFonts w:cs="Times New Roman"/>
          <w:lang w:val="vi-VN"/>
        </w:rPr>
        <w:t xml:space="preserve">Bước ngoặt thực sự của ngành cho vay ngang hàng đến từ cuộc khủng hoảng tà chính 2008- 2009. Niềm tin của công chúng vào các tổ chức tài chính sụp đổ. Nguồn cung tín dụng cũng vậy khi nhiều ngân hàng gặp phải vấn đề phát sinh nghiêm trọng, số lượng lớn các cá nhân và doanh nghiệp không thể đảm bảo được khoản vay, các doanh nghiệp vừa và nhỏ gặp khó khăn đặc biệt. </w:t>
      </w:r>
    </w:p>
    <w:p w14:paraId="3646BF49" w14:textId="77777777" w:rsidR="00535681" w:rsidRPr="00FE4250" w:rsidRDefault="00535681" w:rsidP="00D66763">
      <w:pPr>
        <w:pStyle w:val="0NOIDUNG"/>
        <w:rPr>
          <w:rFonts w:cs="Times New Roman"/>
          <w:lang w:val="vi-VN"/>
        </w:rPr>
      </w:pPr>
      <w:r w:rsidRPr="00FE4250">
        <w:rPr>
          <w:rFonts w:cs="Times New Roman"/>
          <w:lang w:val="vi-VN"/>
        </w:rPr>
        <w:t>Sau những tổn thất nặng nề, hệ thống các ngân hàng buộc phải khắt khe hơn trong quá trình cho vay và giải ngân, điều này tạo ra sự không hài lòng tới những người đi vay dành cho các ngân hàng thương mại và sự tiếp cận nguồn vốn của người đi vay nói chung cũng như doanh nghiệp vừa và nhỏ nói riêng. Các nhà đầu tư dần quay lưng lại với sản phẩm ngân hàng thông thường và ngày càng tìm kiếm các giải pháp thay thế mang lại lợi nhuận cao hơn khi mô hình kinh doanh của ngân hàng mang lại lợi nhuận thấp nhất có thể cho nhà đầu tư, mặt khác lãi suất cao nhất cho người đivay.Zopa đã chứng kiến sự ra tăng đột biến về số lượng người cho vay sẵn sàng chấp nhận rủi ro và người đi vay tiềm năng đáng tin cậy hơn cũng mở rộng. Thành công mới được tìm thấy của các nền tảng đầu tiên đã kích hoạt một làn sóng các mục mới. Ngoài ra, sự ra đời của hàng loạt này tảng trên thế giới cũng đã cho thấy sự phát triển mạnh mẽ của hoạt động cho vay ngang hàng như LendingClub, Virgin Moneyus, Loanio, Microplace, Fynanz (2008) ở Mỹ hay IOỤC Central, Community Lend (2008) ở Canada; Baby Loan(2009) ở Trung Quốc; Funding Circle, RateSetter(2010) ở Anh; ChangDai, Renrendai (2010) ở Trung Quốc, Society One (2012) ở Úc; Captial Match (2014), Funding Societies (2015) ở Singapore; …</w:t>
      </w:r>
    </w:p>
    <w:p w14:paraId="58188EF3" w14:textId="1C063C5F" w:rsidR="00535681" w:rsidRPr="00FE4250" w:rsidRDefault="00535681" w:rsidP="00D66763">
      <w:pPr>
        <w:pStyle w:val="0NOIDUNG"/>
        <w:rPr>
          <w:rFonts w:cs="Times New Roman"/>
          <w:lang w:val="vi-VN"/>
        </w:rPr>
      </w:pPr>
      <w:r w:rsidRPr="00FE4250">
        <w:rPr>
          <w:rFonts w:cs="Times New Roman"/>
          <w:lang w:val="vi-VN"/>
        </w:rPr>
        <w:t xml:space="preserve">Như vậy, kể từ năm 2008, các nền tảng cho vay ngang hàng đã phát triển với tốc độ phi thường. Sự tiện lợi và nhanh chóng mà họ mang lại được người vay cũng như nhà đầu tư đánh giá cao khi khắc phục nhược điểm của hình thức cho vay truyền thống, điển hình như hệ thống thủ tục tốn thời gian và cứng nhắc của các ngân hàng là nền tảng cho sự phát triển các phương thức vay linh hoạt hơn. Điều này làm cho P2P trở nên hấp dẫn đối với cả người đi vay – người có thể nhận lãi suất thấp hơn  khi đi vay truyền thống và cho các nhà đầu tư, những ngườithu lợi nhuận lớn . Số lượng nền tảng ngày càng tăng </w:t>
      </w:r>
      <w:r w:rsidRPr="00FE4250">
        <w:rPr>
          <w:rFonts w:cs="Times New Roman"/>
          <w:lang w:val="vi-VN"/>
        </w:rPr>
        <w:lastRenderedPageBreak/>
        <w:t>và dưới sự phát triển ngày càng mạnh của ngành công nghệ thông tin, ngành cho vay ngang hàng trở thành xu thế tất yếu của thị trường tài chính hiện nay.</w:t>
      </w:r>
    </w:p>
    <w:p w14:paraId="273BAEB1" w14:textId="532524E4" w:rsidR="007E055C" w:rsidRPr="00FE4250" w:rsidRDefault="007E055C" w:rsidP="00D66763">
      <w:pPr>
        <w:pStyle w:val="0NOIDUNG"/>
        <w:rPr>
          <w:rFonts w:cs="Times New Roman"/>
          <w:shd w:val="clear" w:color="auto" w:fill="FFFFFF"/>
          <w:lang w:val="vi-VN"/>
        </w:rPr>
      </w:pPr>
      <w:r w:rsidRPr="00FE4250">
        <w:rPr>
          <w:rFonts w:cs="Times New Roman"/>
          <w:shd w:val="clear" w:color="auto" w:fill="FFFFFF"/>
          <w:lang w:val="vi-VN"/>
        </w:rPr>
        <w:t xml:space="preserve">Nhìn chung, có thể thấy hoạt động cho vay ngang hàng đã xuất hiện trên thế giới từ rất sớm, trước khi ngân hàng ra đời. Tuy nhiên, khoảng đầu thế kỉ 21 trở lại đây, hình thức này mới thật sự phát triển mạnh, dần dần trở thành xu thế của thị trường hiện nay. Theo các nhà nghiên cứu Morgan Stantley cho rằng: Trong tương lai không xa chắc chắn mô hình cho vay P2P sẽ trở thành xu hướng phát triển rộng khắp thị trường thế giới. Cho vay ngang hàng đang là kênh tín dụng phát triển nhờ vào sự tiến bộ nhanh chóng ở nhiều nước phát triển và đang phát triển trong vòng hơn một thập kỉ gần đây. Cho vay ngang hàng được dự đoán là một trong những nhân tố nổi bật thúc đẩy sự phát triển của hệ thống tài chính nói chung và thị trường tín dụng ngân hàng nói riêng. </w:t>
      </w:r>
    </w:p>
    <w:p w14:paraId="37A98A01" w14:textId="105CA766" w:rsidR="007E055C" w:rsidRPr="00F76356" w:rsidRDefault="00D66763" w:rsidP="00D66763">
      <w:pPr>
        <w:pStyle w:val="0LV2"/>
        <w:rPr>
          <w:rFonts w:cs="Times New Roman"/>
        </w:rPr>
      </w:pPr>
      <w:bookmarkStart w:id="5" w:name="_Toc134387162"/>
      <w:r w:rsidRPr="00F76356">
        <w:rPr>
          <w:rFonts w:cs="Times New Roman"/>
          <w:shd w:val="clear" w:color="auto" w:fill="FFFFFF"/>
        </w:rPr>
        <w:t xml:space="preserve">1.3 </w:t>
      </w:r>
      <w:r w:rsidR="007E055C" w:rsidRPr="00F76356">
        <w:rPr>
          <w:rFonts w:cs="Times New Roman"/>
          <w:shd w:val="clear" w:color="auto" w:fill="FFFFFF"/>
        </w:rPr>
        <w:t>Bản chất của cho vay ngang hàng</w:t>
      </w:r>
      <w:bookmarkEnd w:id="5"/>
    </w:p>
    <w:p w14:paraId="7E2009B3" w14:textId="77777777" w:rsidR="007E055C" w:rsidRPr="00F76356" w:rsidRDefault="007E055C" w:rsidP="00D66763">
      <w:pPr>
        <w:pStyle w:val="0NOIDUNG"/>
        <w:rPr>
          <w:rFonts w:cs="Times New Roman"/>
        </w:rPr>
      </w:pPr>
      <w:r w:rsidRPr="00F76356">
        <w:rPr>
          <w:rFonts w:cs="Times New Roman"/>
        </w:rPr>
        <w:t>Bản chất của những thỏa thuận vay vốn giữa người cho vay và người vay là quan hệ dân sự. Chỉ có điều họ có thể không hề quen biết nhau, mà chỉ tìm thấy nhau thông qua mạng internet. Trên thực tế, các đơn vị cung cấp dịch vụ P2P không chỉ dừng lại ở việc kết nối, mà hiện tại đã mở rộng thêm nhiều hoạt động kinh doanh khác như:</w:t>
      </w:r>
    </w:p>
    <w:p w14:paraId="2E2100DA" w14:textId="77777777" w:rsidR="007E055C" w:rsidRPr="00F76356" w:rsidRDefault="007E055C" w:rsidP="00D66763">
      <w:pPr>
        <w:pStyle w:val="0NOIDUNG"/>
        <w:rPr>
          <w:rFonts w:cs="Times New Roman"/>
        </w:rPr>
      </w:pPr>
      <w:r w:rsidRPr="00F76356">
        <w:rPr>
          <w:rFonts w:cs="Times New Roman"/>
        </w:rPr>
        <w:t>Trực tiếp trở thành bên cho vay, điều hành mọi hoạt động vay vốn của khách hàng. Nhằm thúc đẩy lợi nhuận phát sinh từ những hợp đồng vay đó. </w:t>
      </w:r>
    </w:p>
    <w:p w14:paraId="432A8988" w14:textId="77777777" w:rsidR="007E055C" w:rsidRPr="00F76356" w:rsidRDefault="007E055C" w:rsidP="00D66763">
      <w:pPr>
        <w:pStyle w:val="0NOIDUNG"/>
        <w:rPr>
          <w:rFonts w:cs="Times New Roman"/>
        </w:rPr>
      </w:pPr>
      <w:r w:rsidRPr="00F76356">
        <w:rPr>
          <w:rFonts w:cs="Times New Roman"/>
        </w:rPr>
        <w:t>Trở thành đối tác bán hàng cho các tổ chức, công ty tài chính lớn.</w:t>
      </w:r>
    </w:p>
    <w:p w14:paraId="51EAF42E" w14:textId="77777777" w:rsidR="007E055C" w:rsidRPr="00F76356" w:rsidRDefault="007E055C" w:rsidP="00D66763">
      <w:pPr>
        <w:pStyle w:val="0NOIDUNG"/>
        <w:rPr>
          <w:rFonts w:cs="Times New Roman"/>
        </w:rPr>
      </w:pPr>
      <w:r w:rsidRPr="00F76356">
        <w:rPr>
          <w:rFonts w:cs="Times New Roman"/>
        </w:rPr>
        <w:t>Kiểm soát chặt chẽ hoạt động của các bên, bao gồm ấn định lãi suất, kiểm tra thông tin, chấm điểm tín dụng và xếp hạng tín nhiệm người vay. </w:t>
      </w:r>
    </w:p>
    <w:p w14:paraId="363EA8F1" w14:textId="77777777" w:rsidR="007E055C" w:rsidRPr="00F76356" w:rsidRDefault="007E055C" w:rsidP="00D66763">
      <w:pPr>
        <w:pStyle w:val="0NOIDUNG"/>
        <w:rPr>
          <w:rFonts w:cs="Times New Roman"/>
          <w:shd w:val="clear" w:color="auto" w:fill="FFFFFF"/>
        </w:rPr>
      </w:pPr>
      <w:r w:rsidRPr="00F76356">
        <w:rPr>
          <w:rFonts w:cs="Times New Roman"/>
          <w:shd w:val="clear" w:color="auto" w:fill="FFFFFF"/>
        </w:rPr>
        <w:t>Có một điều mà chúng ta không thể phủ nhận, đó chính là hoạt động cho vay ngang hàng đã tạo ra thêm một kênh kết nối, giúp cho những người có nhu cầu cho vay tìm được nguồn khách hàng tiềm năng. Cũng như giúp người cần vay, nhất là những người gặp khó khăn trong việc tiếp cận nguồn vốn ngân hàng, công ty tài chính… có cơ hội giải quyết được nỗi lo về tài chính.</w:t>
      </w:r>
    </w:p>
    <w:p w14:paraId="1CE40430" w14:textId="77777777" w:rsidR="007E055C" w:rsidRPr="00F76356" w:rsidRDefault="007E055C" w:rsidP="00D66763">
      <w:pPr>
        <w:pStyle w:val="0NOIDUNG"/>
        <w:rPr>
          <w:rFonts w:cs="Times New Roman"/>
        </w:rPr>
      </w:pPr>
      <w:r w:rsidRPr="00F76356">
        <w:rPr>
          <w:rFonts w:cs="Times New Roman"/>
        </w:rPr>
        <w:t xml:space="preserve">Thông qua hình thức này, người đi vay không cần phải đến trực tiếp ngân hàng, cũng không cần phải trải qua bất kỳ quy trình hay thủ tục phức tạp nào cả. Ngược lại, toàn bộ quá trình vay vốn đều sẽ được diễn ra một cách nhanh chóng và vô cùng đơn giản. Chỉ </w:t>
      </w:r>
      <w:r w:rsidRPr="00F76356">
        <w:rPr>
          <w:rFonts w:cs="Times New Roman"/>
        </w:rPr>
        <w:lastRenderedPageBreak/>
        <w:t>cần một chiếc điện thoại thông minh có cài đặt phần mềm cho vay ngang hàng, một vài thao tác trên điện thoại để đăng ký hồ sơ vay, là người dùng đã có thể được duyệt khoản vay ngay trong ngày với hạn mức rất cao. </w:t>
      </w:r>
    </w:p>
    <w:p w14:paraId="728168B8" w14:textId="77777777" w:rsidR="007E055C" w:rsidRPr="00F76356" w:rsidRDefault="007E055C" w:rsidP="00D66763">
      <w:pPr>
        <w:pStyle w:val="0NOIDUNG"/>
        <w:rPr>
          <w:rFonts w:cs="Times New Roman"/>
          <w:i/>
          <w:iCs/>
        </w:rPr>
      </w:pPr>
      <w:r w:rsidRPr="00F76356">
        <w:rPr>
          <w:rFonts w:cs="Times New Roman"/>
          <w:i/>
          <w:iCs/>
        </w:rPr>
        <w:t>Như vậy có thể tóm gọn lại, bản chất vay ngang hàng là một nền tảng công nghệ, cung cấp dịch vụ kết nối giữa người vay và người cho vay. Chính vì vậy, bất kể bạn là người có nhu cầu vay tiền, hay là người muốn đầu tư nguồn vốn của mình để cho vay, thì đều có thể sử dụng phương thức này. Chắc chắn đây sẽ là giải pháp hữu hiệu nhất, giải quyết được mọi vấn đề mà bạn đang tìm kiếm.</w:t>
      </w:r>
    </w:p>
    <w:p w14:paraId="08A7659C" w14:textId="67AAADB6" w:rsidR="007E055C" w:rsidRPr="00F76356" w:rsidRDefault="00DA5916" w:rsidP="00D66763">
      <w:pPr>
        <w:pStyle w:val="0LV2"/>
        <w:rPr>
          <w:rFonts w:cs="Times New Roman"/>
        </w:rPr>
      </w:pPr>
      <w:bookmarkStart w:id="6" w:name="_Toc134387163"/>
      <w:r w:rsidRPr="00F76356">
        <w:rPr>
          <w:rFonts w:cs="Times New Roman"/>
        </w:rPr>
        <w:t xml:space="preserve">1.4 </w:t>
      </w:r>
      <w:r w:rsidR="007E055C" w:rsidRPr="00F76356">
        <w:rPr>
          <w:rFonts w:cs="Times New Roman"/>
        </w:rPr>
        <w:t>Đặc điểm của hoạt động cho vay ngang hàng</w:t>
      </w:r>
      <w:bookmarkEnd w:id="6"/>
    </w:p>
    <w:p w14:paraId="18F1C2D4"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Thứ nhất, nhà đầu tư và người đi vay kết nối trực tiếp qua nền tảng giao dịch trực tuyến</w:t>
      </w:r>
    </w:p>
    <w:p w14:paraId="0DCBF87D" w14:textId="07B1E725" w:rsidR="007E055C" w:rsidRPr="00F76356" w:rsidRDefault="007E055C" w:rsidP="00DA5916">
      <w:pPr>
        <w:pStyle w:val="0NOIDUNG"/>
        <w:rPr>
          <w:rFonts w:cs="Times New Roman"/>
          <w:shd w:val="clear" w:color="auto" w:fill="FFFFFF"/>
        </w:rPr>
      </w:pPr>
      <w:r w:rsidRPr="00F76356">
        <w:rPr>
          <w:rFonts w:cs="Times New Roman"/>
        </w:rPr>
        <w:t>Cho vay ngang hàng ( P2P Lending ) cho phép người đi vay có thể vay tiền trực tiếp từ các nhà đầu tư dựa trên nền tảng cho vay trực tuyến, loại bỏ vai trò trung gian của ngân hàng và các tổ chức tín dụng khỏi quá trình vay vốn. Các công ty cung cấp dịch vụ cho vay ngang hàng trên website hoặc app online cho phép kết nối người có nhu cầu  cho vay với người có nhu cầu vay tiền phù hợp ở bất kì nơi đâu, giúp cho việc vay vốn trở nên dễ dàng hơn. Các nền tảng cho vay ngang hàng cung cấp dịch vụ đầu tư và cho vay cho rất nhiều các đối tượng nhà đầu tư và người đi vay, từ các khoản vay nhỏ và thời hạn ngắn đến các</w:t>
      </w:r>
      <w:r w:rsidR="002D3EED" w:rsidRPr="00F76356">
        <w:rPr>
          <w:rFonts w:cs="Times New Roman"/>
        </w:rPr>
        <w:t xml:space="preserve"> </w:t>
      </w:r>
      <w:r w:rsidRPr="00F76356">
        <w:rPr>
          <w:rFonts w:cs="Times New Roman"/>
          <w:shd w:val="clear" w:color="auto" w:fill="FFFFFF"/>
        </w:rPr>
        <w:t>khoả</w:t>
      </w:r>
      <w:r w:rsidR="002D3EED" w:rsidRPr="00F76356">
        <w:rPr>
          <w:rFonts w:cs="Times New Roman"/>
          <w:shd w:val="clear" w:color="auto" w:fill="FFFFFF"/>
        </w:rPr>
        <w:t xml:space="preserve">n vay </w:t>
      </w:r>
      <w:r w:rsidRPr="00F76356">
        <w:rPr>
          <w:rFonts w:cs="Times New Roman"/>
          <w:shd w:val="clear" w:color="auto" w:fill="FFFFFF"/>
        </w:rPr>
        <w:t>lớ</w:t>
      </w:r>
      <w:r w:rsidR="002D3EED" w:rsidRPr="00F76356">
        <w:rPr>
          <w:rFonts w:cs="Times New Roman"/>
          <w:shd w:val="clear" w:color="auto" w:fill="FFFFFF"/>
        </w:rPr>
        <w:t xml:space="preserve">n và </w:t>
      </w:r>
      <w:r w:rsidRPr="00F76356">
        <w:rPr>
          <w:rFonts w:cs="Times New Roman"/>
          <w:shd w:val="clear" w:color="auto" w:fill="FFFFFF"/>
        </w:rPr>
        <w:t>thờ</w:t>
      </w:r>
      <w:r w:rsidR="002D3EED" w:rsidRPr="00F76356">
        <w:rPr>
          <w:rFonts w:cs="Times New Roman"/>
          <w:shd w:val="clear" w:color="auto" w:fill="FFFFFF"/>
        </w:rPr>
        <w:t xml:space="preserve">i </w:t>
      </w:r>
      <w:r w:rsidRPr="00F76356">
        <w:rPr>
          <w:rFonts w:cs="Times New Roman"/>
          <w:shd w:val="clear" w:color="auto" w:fill="FFFFFF"/>
        </w:rPr>
        <w:t>hạ</w:t>
      </w:r>
      <w:r w:rsidR="002D3EED" w:rsidRPr="00F76356">
        <w:rPr>
          <w:rFonts w:cs="Times New Roman"/>
          <w:shd w:val="clear" w:color="auto" w:fill="FFFFFF"/>
        </w:rPr>
        <w:t xml:space="preserve">n dài, </w:t>
      </w:r>
      <w:r w:rsidRPr="00F76356">
        <w:rPr>
          <w:rFonts w:cs="Times New Roman"/>
          <w:shd w:val="clear" w:color="auto" w:fill="FFFFFF"/>
        </w:rPr>
        <w:t>kế</w:t>
      </w:r>
      <w:r w:rsidR="002D3EED" w:rsidRPr="00F76356">
        <w:rPr>
          <w:rFonts w:cs="Times New Roman"/>
          <w:shd w:val="clear" w:color="auto" w:fill="FFFFFF"/>
        </w:rPr>
        <w:t xml:space="preserve">t </w:t>
      </w:r>
      <w:r w:rsidRPr="00F76356">
        <w:rPr>
          <w:rFonts w:cs="Times New Roman"/>
          <w:shd w:val="clear" w:color="auto" w:fill="FFFFFF"/>
        </w:rPr>
        <w:t>nố</w:t>
      </w:r>
      <w:r w:rsidR="002D3EED" w:rsidRPr="00F76356">
        <w:rPr>
          <w:rFonts w:cs="Times New Roman"/>
          <w:shd w:val="clear" w:color="auto" w:fill="FFFFFF"/>
        </w:rPr>
        <w:t xml:space="preserve">i </w:t>
      </w:r>
      <w:r w:rsidRPr="00F76356">
        <w:rPr>
          <w:rFonts w:cs="Times New Roman"/>
          <w:shd w:val="clear" w:color="auto" w:fill="FFFFFF"/>
        </w:rPr>
        <w:t>trự</w:t>
      </w:r>
      <w:r w:rsidR="002D3EED" w:rsidRPr="00F76356">
        <w:rPr>
          <w:rFonts w:cs="Times New Roman"/>
          <w:shd w:val="clear" w:color="auto" w:fill="FFFFFF"/>
        </w:rPr>
        <w:t xml:space="preserve">c </w:t>
      </w:r>
      <w:r w:rsidRPr="00F76356">
        <w:rPr>
          <w:rFonts w:cs="Times New Roman"/>
          <w:shd w:val="clear" w:color="auto" w:fill="FFFFFF"/>
        </w:rPr>
        <w:t>tiế</w:t>
      </w:r>
      <w:r w:rsidR="002D3EED" w:rsidRPr="00F76356">
        <w:rPr>
          <w:rFonts w:cs="Times New Roman"/>
          <w:shd w:val="clear" w:color="auto" w:fill="FFFFFF"/>
        </w:rPr>
        <w:t xml:space="preserve">p </w:t>
      </w:r>
      <w:r w:rsidRPr="00F76356">
        <w:rPr>
          <w:rFonts w:cs="Times New Roman"/>
          <w:shd w:val="clear" w:color="auto" w:fill="FFFFFF"/>
        </w:rPr>
        <w:t>ngườ</w:t>
      </w:r>
      <w:r w:rsidR="002D3EED" w:rsidRPr="00F76356">
        <w:rPr>
          <w:rFonts w:cs="Times New Roman"/>
          <w:shd w:val="clear" w:color="auto" w:fill="FFFFFF"/>
        </w:rPr>
        <w:t xml:space="preserve">i đi vay và </w:t>
      </w:r>
      <w:r w:rsidRPr="00F76356">
        <w:rPr>
          <w:rFonts w:cs="Times New Roman"/>
          <w:shd w:val="clear" w:color="auto" w:fill="FFFFFF"/>
        </w:rPr>
        <w:t>người cho vay. </w:t>
      </w:r>
    </w:p>
    <w:p w14:paraId="65089319"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Khác với các tổ chức tài chính, các nền tảng cho vay ngang hàng chỉ đóng vai trò như là nhà điều phối tài chính bởi các công ty P2P Lending chỉ cung cấp các trung gian về công nghệ, cung cấp nền tảng để người đi vay và người cho vay kết nối trực tiếp mà hoàn toàn không hề đầu tư góp vốn vào bất cứ khoản cho vay nào trên nền tảng của họ. Nếu như hình thức vay vốn truyền thống hoạt động theo phương thức huy động vốn nhàn rỗi trong nền kinh tế sau đó đứng ra làm trung gian cho những người có nhu cầu vay vốn vay lại.</w:t>
      </w:r>
    </w:p>
    <w:p w14:paraId="15000F0F"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 xml:space="preserve">Các tổ chức tài chính trung gian sẽ đáp ứng các nhu cầu về vốn và nhận lại được một khoản lợi nhất định thông qua việc cho vay với lãi suất cho vay lớn hơn lãi suất huy động. Trong khi đó với hoạt động cho vay ngang hàng người vay được kết nối trực tiếp </w:t>
      </w:r>
      <w:r w:rsidRPr="00F76356">
        <w:rPr>
          <w:rFonts w:cs="Times New Roman"/>
          <w:shd w:val="clear" w:color="auto" w:fill="FFFFFF"/>
        </w:rPr>
        <w:lastRenderedPageBreak/>
        <w:t>với nhà đầu tư thông qua nên tảng online. Những nhà vận hàng vay ngang hàng sẽ đưa ra kết luận đánh giá chất lượng khoản vay của riêng họ dưới hình thức tư vấn tài chính.</w:t>
      </w:r>
    </w:p>
    <w:p w14:paraId="3E4E7848" w14:textId="31200FD9" w:rsidR="007E055C" w:rsidRPr="00F76356" w:rsidRDefault="007E055C" w:rsidP="00DA5916">
      <w:pPr>
        <w:pStyle w:val="0NOIDUNG"/>
        <w:rPr>
          <w:rFonts w:cs="Times New Roman"/>
          <w:shd w:val="clear" w:color="auto" w:fill="FFFFFF"/>
        </w:rPr>
      </w:pPr>
      <w:r w:rsidRPr="00F76356">
        <w:rPr>
          <w:rFonts w:cs="Times New Roman"/>
          <w:shd w:val="clear" w:color="auto" w:fill="FFFFFF"/>
        </w:rPr>
        <w:t>Chính vì vậy, mặc dù cũng thực hiện công tác phân tích tín dụng nhưng họ không hề đối mặt với rủi ro tín dụng mà thu nhập </w:t>
      </w:r>
      <w:r w:rsidR="00535681" w:rsidRPr="00F76356">
        <w:rPr>
          <w:rFonts w:cs="Times New Roman"/>
          <w:shd w:val="clear" w:color="auto" w:fill="FFFFFF"/>
        </w:rPr>
        <w:t>chủyếucùa</w:t>
      </w:r>
      <w:r w:rsidRPr="00F76356">
        <w:rPr>
          <w:rFonts w:cs="Times New Roman"/>
          <w:shd w:val="clear" w:color="auto" w:fill="FFFFFF"/>
        </w:rPr>
        <w:t> các kênh cho vay ngang hàng là phí giao dịch từ một khoản vay được khớp lệnh thành công trên nền tảngcủa họ, điều đó thường gây tranh cãi vì có thể dẫn đến sự thiếu nghiêm túc trong việc đá</w:t>
      </w:r>
      <w:r w:rsidR="00535681" w:rsidRPr="00F76356">
        <w:rPr>
          <w:rFonts w:cs="Times New Roman"/>
          <w:shd w:val="clear" w:color="auto" w:fill="FFFFFF"/>
        </w:rPr>
        <w:t>n</w:t>
      </w:r>
      <w:r w:rsidRPr="00F76356">
        <w:rPr>
          <w:rFonts w:cs="Times New Roman"/>
          <w:shd w:val="clear" w:color="auto" w:fill="FFFFFF"/>
        </w:rPr>
        <w:t>h giá tín dụng. </w:t>
      </w:r>
    </w:p>
    <w:p w14:paraId="63694715" w14:textId="447F9AA8" w:rsidR="007E055C" w:rsidRPr="00F76356" w:rsidRDefault="007E055C" w:rsidP="00DA5916">
      <w:pPr>
        <w:pStyle w:val="0NOIDUNG"/>
        <w:rPr>
          <w:rFonts w:cs="Times New Roman"/>
          <w:shd w:val="clear" w:color="auto" w:fill="FFFFFF"/>
        </w:rPr>
      </w:pPr>
      <w:r w:rsidRPr="00F76356">
        <w:rPr>
          <w:rFonts w:cs="Times New Roman"/>
          <w:shd w:val="clear" w:color="auto" w:fill="FFFFFF"/>
        </w:rPr>
        <w:t>Chính vì vậy, mặc dù cũng thực hiện công tác phân tích tín dụng nhưng họ không hề đối mặt với rủi ro tín dụng mà thu nhập chủ yếu của các kênh cho vay ngang hàng là phí giao dịch từ một khoản vay được khớp lệnh thành công trên nền tảng của họ,  điều đó gây tranh cãi vì có thể dẫn đến sự thiếu nghiêm túc trong việc đánh giá tín dụng.</w:t>
      </w:r>
    </w:p>
    <w:p w14:paraId="58D8E42B" w14:textId="77777777" w:rsidR="007E055C" w:rsidRPr="00F76356" w:rsidRDefault="007E055C" w:rsidP="00DA5916">
      <w:pPr>
        <w:pStyle w:val="0NOIDUNG"/>
        <w:rPr>
          <w:rStyle w:val="Strong"/>
          <w:rFonts w:cs="Times New Roman"/>
          <w:szCs w:val="26"/>
          <w:shd w:val="clear" w:color="auto" w:fill="FFFFFF"/>
        </w:rPr>
      </w:pPr>
      <w:r w:rsidRPr="00F76356">
        <w:rPr>
          <w:rStyle w:val="Strong"/>
          <w:rFonts w:cs="Times New Roman"/>
          <w:szCs w:val="26"/>
          <w:shd w:val="clear" w:color="auto" w:fill="FFFFFF"/>
        </w:rPr>
        <w:t>Thứ hai, các bên tham gia quyết định giao dịch thông qua nền tảng giao dịch trực tuyến </w:t>
      </w:r>
    </w:p>
    <w:p w14:paraId="13B622E9"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Mô hình đầu tư Online và nền tảng P2P cho phép nhà đầu tư có thể chọn người vay và dễ dàng theo dõi nguồn lợi nhuận của mình từ người đi vay. Người vay cũng có quyền lựa chọn nhà đầu tư phù hợp với nhu cầu của mình.</w:t>
      </w:r>
    </w:p>
    <w:p w14:paraId="4D65FD97"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Đối với người đi vay, họ sẽ được đưa ra các đề nghị về vay vốn với lãi suất, kỳ hạn và số tiền muốn vay và được hướng dẫn chi tiết về quy định nộp hồ sơ vay vốn trực tuyến, và có thể nhận được kết quả xét duyệt trong thời gian ngắn. Hầu hết các công ty cho vay ngang hàng áp dụng nhiều phương pháp khác nhau để đánh  giá khả năng thanh toán của người vay. Một số công ty sử dụng thông tin kiểm định từ bên thứ ba độc lập để xác minh nhân thân và đặc điểm của người vay cũng như khả năng thanh toán của họ.</w:t>
      </w:r>
    </w:p>
    <w:p w14:paraId="5CBE657E"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Đối với nhà đầu tư, nhà đầu tư ra quyết định cho vay dựa trên thông tin về nhu cầu vay vốn của người đi vay, kết quả xếp hạng người đi vay theo tiêu chí nội bộ của công ty P2P Lending. Các nền tảng P2P Lending phải đảm bảo rằng việc phân tích tín dụng của họ phải đủ chính xác để đảm bảo rằng nhà đầu tư đưa ra quyết định đầu tư đúng đắn dựa trên hệ thống, thông tin được đưa ra. Các nền tảng cho vay ngang hàng được tích hợp các chức năng quản lý, đánh giá thông tin và xếp hạng tín nghiệm người vay nhằm mục đích đưa ra giải pháp quản lí rủi ro tốt nhất cho nhà đầu tư.</w:t>
      </w:r>
    </w:p>
    <w:p w14:paraId="0F48723C"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lastRenderedPageBreak/>
        <w:t>Bên cạnh đó, nhiều nền tảng có dịch vụ thu hộ tiền lãi lẫn gốc, cũng như có hệ thống báo cáo hàng ngày giúp nhà đầu tư theo dõi được tình hình các khoản đầu tư của mình. Các công ty cho vay ngang hàng cung cấp hệ thống dịch vụ giúp các nhà đầu tư dễ dàng đánh giá khả năng thanh toán và uy tín của người vay, đa dạng hóa và theo dõi nguồn lợi nhuận thu được từ người đi vay.</w:t>
      </w:r>
    </w:p>
    <w:p w14:paraId="69532B01"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Ngoài ra, có một số công ty P2P Lending tiến hành xây dựng các mạng xã hội nội bộ có vai trò quan trọng trong việc tạo ra các mối quan hệ giữa những người cho vay và đi vay, từ đó gián tiếp giúp người vay và đi vay có thêm những thông tin về những đối tác tiềm năng của mình. Đây là yếu tố quan trọng nâng cao niềm tin của các nhà đầu tư vào độ chính xác của điểm số tín dụng của người đi vay, giúp giảm rủi ro trong quá trình cho vay, đồng thời giúp đem đến các thông tin công khai cho các bên tham gia để quyết định giao dịch trên nền tảng trực tuyến.</w:t>
      </w:r>
    </w:p>
    <w:p w14:paraId="36A5C2F2" w14:textId="77777777" w:rsidR="007E055C" w:rsidRPr="00F76356" w:rsidRDefault="007E055C" w:rsidP="00DA5916">
      <w:pPr>
        <w:pStyle w:val="0NOIDUNG"/>
        <w:rPr>
          <w:rFonts w:cs="Times New Roman"/>
        </w:rPr>
      </w:pPr>
      <w:r w:rsidRPr="00F76356">
        <w:rPr>
          <w:rFonts w:cs="Times New Roman"/>
          <w:b/>
          <w:bCs/>
        </w:rPr>
        <w:t>Thứ ba, khoản cho vay không có thỏa thuận tài sản bảo đảm </w:t>
      </w:r>
    </w:p>
    <w:p w14:paraId="103481E1" w14:textId="77777777" w:rsidR="007E055C" w:rsidRPr="00F76356" w:rsidRDefault="007E055C" w:rsidP="00DA5916">
      <w:pPr>
        <w:pStyle w:val="0NOIDUNG"/>
        <w:rPr>
          <w:rFonts w:cs="Times New Roman"/>
        </w:rPr>
      </w:pPr>
      <w:r w:rsidRPr="00F76356">
        <w:rPr>
          <w:rFonts w:cs="Times New Roman"/>
        </w:rPr>
        <w:t>Cho vay ngang hàng cung cấp cả khoản vay có đảm bảo và không có đảm bảo. Tuy nhiên, hầu hết các khoản vay trong hình thức cho vay P2P Lending là khoản vay có không có đảm bảo hay còn gọi là khoản vay tín chấp. Các khoản vay có đảm bảo thường không nhiều và thông thường những khoản vay đó có giá trị lớn. Các công ty P2P hoạt động trên nền tảng công nghệ, thẩm định khách hàng dựa trên thông tin thu nhập được từ số điện thoại đăng kí, mạng xã hội, xét duyệt hồ sơ vay cũng hoàn toàn trực tuyến, chỉ với những giao dịch có giá trị lớn mới cần yêu cầu tài sản đảm bảo.</w:t>
      </w:r>
    </w:p>
    <w:p w14:paraId="49673E8C"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Trong mô hình kinh doanh P2P Lending, người cho vay thường thực hiện các khoản vay tương đối nhỏ, ngắn hạn không được đảm bảo bằng tài sản thế chấp và hầu hết tập trung vào một loại cho vay nhất định với lãi suất khác nhau tùy thuộc vào mức độ tín nhiệm được đánh giá người vay và các khoản vay không có bảo đảm thường có lãi suất tương đối cao.</w:t>
      </w:r>
    </w:p>
    <w:p w14:paraId="18D76857"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Lý giải cho điều này có thể thấy rằng xuất phát từ phía cung – cầu. Với những tiến bộ nhanh chóng của khoa học công nghệ, internet, thiết bị di dộng, đặc biệt là dữ liệu lớn đã khuyến khích sự ra đời và phát triển nhanh chóng của các nền tảng cho vay ngang hàng trong những năm gần đây với mục tiêu tiếp cận các đối tượng khách hàng chưa hoặc khó tiếp cận được khu vực ngân hàng và các cách thức cho vay truyền thống.</w:t>
      </w:r>
    </w:p>
    <w:p w14:paraId="1ACA7F2A"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lastRenderedPageBreak/>
        <w:t>Mô hình cho vay ngang hàng hỗ trợ cho các cá nhân tiếp cận vốn một cách dễ dàng, nhất là những người không đủ tiêu chuẩn vay vốn ngân hàng, không có tài sản bảo đảm thế chấp cùng với đó là nhóm doanh nghiệp có nhu cầu về vốn nhưng lại gặp khó khăn trong việc tiếp cận nguồn vốn từ ngân hàng vì hững lí do như hệ thống kế toán tài chính chưa chuẩn mực, tâm lí ngại thủ tục do thiếu kinh nghiệm chuẩn bị hồ sơ vay vốn ngân hàng hay thiếu tài sản thế chấp. Do đó, khoản vay qua nền tảng giao dịch trực tuyến theo hình thức không có tài sản đảm bảo. Và có lẽ chính nhờ đặc điểm này, cho vay ngang hàng được coi là nguồn tài chính thay thế.</w:t>
      </w:r>
    </w:p>
    <w:p w14:paraId="657D3284" w14:textId="77777777" w:rsidR="007E055C" w:rsidRPr="00F76356" w:rsidRDefault="007E055C" w:rsidP="00DA5916">
      <w:pPr>
        <w:pStyle w:val="0NOIDUNG"/>
        <w:rPr>
          <w:rFonts w:cs="Times New Roman"/>
        </w:rPr>
      </w:pPr>
      <w:r w:rsidRPr="00F76356">
        <w:rPr>
          <w:rFonts w:cs="Times New Roman"/>
        </w:rPr>
        <w:t>Thứ tư, thủ tục cho vay đơn giản, thuận tiện </w:t>
      </w:r>
    </w:p>
    <w:p w14:paraId="0F07DE01" w14:textId="77777777" w:rsidR="007E055C" w:rsidRPr="00F76356" w:rsidRDefault="007E055C" w:rsidP="00DA5916">
      <w:pPr>
        <w:pStyle w:val="0NOIDUNG"/>
        <w:rPr>
          <w:rFonts w:cs="Times New Roman"/>
        </w:rPr>
      </w:pPr>
      <w:r w:rsidRPr="00F76356">
        <w:rPr>
          <w:rFonts w:cs="Times New Roman"/>
        </w:rPr>
        <w:t>Cho vay ngang hàng là hình thức tín dụng nhanh chóng và thuận tiện cho các bên tham gia dựa trên sự tận dụng được các ưu điểm của Internet và công nghệ tài chính. Mọi giao dịch vay và cho vay hầu hết được thực hiện thông qua mạng và sự hỗ trợ của hệ thống giao dịch trực tuyến được cung cấp bởi các công ty cho vay ngang hàng.</w:t>
      </w:r>
    </w:p>
    <w:p w14:paraId="3BDC7CFE"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t>Trong hoạt động cho vay P2P, mọi giao dịch đều thực hiện trực tuyến trên mạng Internet nên người cho vay và người vay không cần thiết phải biết nhau. Nền tảng trực tuyến P2P kết nối người đi vay và cho vay trên mô hình quy mô rất lớn, kể cả về địa lí và thời gian. Mọi người tất cả các thành phần, chủng tộc, giới tính, quốc gia, vùng và lứa tuổi có thể truy cập vào một mạng bằng máy tính xách tay hay điện thoại thông minh mọi lúc mọi nơi và từ đó có thể tham gia vào thị trường cho vay trực tuyến: cho vay hoặc đi vay, thâm chí tham gia vào cả hai vai trò. Điều này giúp nhà đầu tư và người đi vay giảm thiếu thời gian và công sức đi đến điểm giao dịch, bên cạnh đó các bên có thể tham gia giao dịch tại bất kì đâu và thời gian nào.</w:t>
      </w:r>
    </w:p>
    <w:p w14:paraId="14B3F1B2" w14:textId="77777777" w:rsidR="007E055C" w:rsidRPr="00F76356" w:rsidRDefault="007E055C" w:rsidP="00DA5916">
      <w:pPr>
        <w:pStyle w:val="0NOIDUNG"/>
        <w:rPr>
          <w:rFonts w:cs="Times New Roman"/>
        </w:rPr>
      </w:pPr>
      <w:r w:rsidRPr="00F76356">
        <w:rPr>
          <w:rFonts w:cs="Times New Roman"/>
        </w:rPr>
        <w:t>Bên cạnh đó, các thủ tục vay và cho vay cũng hết sức đơn giản. Các nhà đầu tư và người đi vay sẽ đăng kí thông tin qua cổng Internet. Các nhà đầu tư chỉ cần đưa ra các đặc điểm cho vay mong muốn, chẳng hạn như lãi suất, điểm xếp hạng yêu cầu của người đi vay, người đi vay cũng đưa ra yêu cầu đề nghị vay vốn trong hồ sơ vay vốn liên quan đến mức vay vốn, thời gian vay vốn và lãi suất mong muốn, sau đó hệ thộng sẽ so sánh đối chiếu các yêu cầu của nhà đầu tư với các hồ sơ vay vốn trên hệ thống, sau đó sẽ tính toán và phân bổ quỹ đầu tư một cách hợp lí.</w:t>
      </w:r>
    </w:p>
    <w:p w14:paraId="564BEFD6" w14:textId="77777777" w:rsidR="007E055C" w:rsidRPr="00F76356" w:rsidRDefault="007E055C" w:rsidP="00DA5916">
      <w:pPr>
        <w:pStyle w:val="0NOIDUNG"/>
        <w:rPr>
          <w:rFonts w:cs="Times New Roman"/>
          <w:shd w:val="clear" w:color="auto" w:fill="FFFFFF"/>
        </w:rPr>
      </w:pPr>
      <w:r w:rsidRPr="00F76356">
        <w:rPr>
          <w:rFonts w:cs="Times New Roman"/>
          <w:shd w:val="clear" w:color="auto" w:fill="FFFFFF"/>
        </w:rPr>
        <w:lastRenderedPageBreak/>
        <w:t>Bằng cách tiến hành giao dịch với trợ giúp của hệ thống nền tảng giao dịch trực tuyến, quá trình giao dịch cả nhà đầu tư và người đi vay đều có thể hoàn thành một cách dễ dàng, thuận lợi trong một thời gian ngắn. Các khoản vay được xử lý hoàn toàn trực tuyến, do đó thời gian xử lý khoản vay từ tiếp nhận hồ sơ, thẩm định, xét duyệt khoản vay đều rất nhanh chóng, thậm chí chỉ trong vài phút.</w:t>
      </w:r>
    </w:p>
    <w:p w14:paraId="5FCB1EB9" w14:textId="77777777" w:rsidR="002D3EED" w:rsidRPr="00F76356" w:rsidRDefault="002D3EED">
      <w:pPr>
        <w:rPr>
          <w:rFonts w:ascii="Times New Roman" w:eastAsiaTheme="minorHAnsi" w:hAnsi="Times New Roman" w:cs="Times New Roman"/>
          <w:b/>
          <w:sz w:val="28"/>
          <w:shd w:val="clear" w:color="auto" w:fill="FFFFFF"/>
          <w:lang w:eastAsia="en-US"/>
        </w:rPr>
      </w:pPr>
      <w:r w:rsidRPr="00F76356">
        <w:rPr>
          <w:rFonts w:ascii="Times New Roman" w:hAnsi="Times New Roman" w:cs="Times New Roman"/>
          <w:shd w:val="clear" w:color="auto" w:fill="FFFFFF"/>
        </w:rPr>
        <w:br w:type="page"/>
      </w:r>
    </w:p>
    <w:p w14:paraId="3A3CCB18" w14:textId="4EFD2040" w:rsidR="007E055C" w:rsidRPr="00F76356" w:rsidRDefault="007E055C" w:rsidP="00DA5916">
      <w:pPr>
        <w:pStyle w:val="0LV1"/>
        <w:rPr>
          <w:rFonts w:cs="Times New Roman"/>
          <w:shd w:val="clear" w:color="auto" w:fill="FFFFFF"/>
        </w:rPr>
      </w:pPr>
      <w:bookmarkStart w:id="7" w:name="_Toc134387164"/>
      <w:r w:rsidRPr="00F76356">
        <w:rPr>
          <w:rFonts w:cs="Times New Roman"/>
          <w:shd w:val="clear" w:color="auto" w:fill="FFFFFF"/>
        </w:rPr>
        <w:lastRenderedPageBreak/>
        <w:t>CHƯƠNG 2: KINH NGHIỆM QUỐC TẾ</w:t>
      </w:r>
      <w:bookmarkEnd w:id="7"/>
    </w:p>
    <w:p w14:paraId="49483634" w14:textId="77777777" w:rsidR="007E055C" w:rsidRPr="00F76356" w:rsidRDefault="007E055C" w:rsidP="00DA5916">
      <w:pPr>
        <w:pStyle w:val="0LV2"/>
        <w:rPr>
          <w:rFonts w:cs="Times New Roman"/>
          <w:shd w:val="clear" w:color="auto" w:fill="FFFFFF"/>
        </w:rPr>
      </w:pPr>
      <w:bookmarkStart w:id="8" w:name="_Toc134387165"/>
      <w:r w:rsidRPr="00F76356">
        <w:rPr>
          <w:rFonts w:cs="Times New Roman"/>
          <w:shd w:val="clear" w:color="auto" w:fill="FFFFFF"/>
        </w:rPr>
        <w:t>2.1.  Mô hình và cơ cấu về cho vay ngang hàng tại một vài nước trên thế giới</w:t>
      </w:r>
      <w:bookmarkEnd w:id="8"/>
    </w:p>
    <w:p w14:paraId="7254449A" w14:textId="77777777" w:rsidR="007E055C" w:rsidRPr="00F76356" w:rsidRDefault="007E055C" w:rsidP="00DA5916">
      <w:pPr>
        <w:pStyle w:val="0LV3"/>
        <w:rPr>
          <w:rFonts w:cs="Times New Roman"/>
          <w:shd w:val="clear" w:color="auto" w:fill="FFFFFF"/>
        </w:rPr>
      </w:pPr>
      <w:bookmarkStart w:id="9" w:name="_Toc134387166"/>
      <w:r w:rsidRPr="00F76356">
        <w:rPr>
          <w:rFonts w:cs="Times New Roman"/>
          <w:shd w:val="clear" w:color="auto" w:fill="FFFFFF"/>
        </w:rPr>
        <w:t>2.1.1. Anh</w:t>
      </w:r>
      <w:bookmarkEnd w:id="9"/>
    </w:p>
    <w:p w14:paraId="25D8AE60" w14:textId="0E66997E" w:rsidR="007E055C" w:rsidRPr="00F76356" w:rsidRDefault="007E055C" w:rsidP="00DA5916">
      <w:pPr>
        <w:pStyle w:val="0LV4"/>
        <w:rPr>
          <w:rFonts w:cs="Times New Roman"/>
          <w:shd w:val="clear" w:color="auto" w:fill="FFFFFF"/>
        </w:rPr>
      </w:pPr>
      <w:r w:rsidRPr="00F76356">
        <w:rPr>
          <w:rFonts w:cs="Times New Roman"/>
          <w:shd w:val="clear" w:color="auto" w:fill="FFFFFF"/>
        </w:rPr>
        <w:t>2.1.1.1. Quy mô và cơ cấu tại Anh</w:t>
      </w:r>
    </w:p>
    <w:p w14:paraId="04A6580B" w14:textId="77777777" w:rsidR="007E055C" w:rsidRPr="00FE4250" w:rsidRDefault="007E055C" w:rsidP="002D3EED">
      <w:pPr>
        <w:pStyle w:val="0NOIDUNG"/>
        <w:rPr>
          <w:rFonts w:cs="Times New Roman"/>
          <w:lang w:val="vi-VN"/>
        </w:rPr>
      </w:pPr>
      <w:r w:rsidRPr="00F76356">
        <w:rPr>
          <w:rFonts w:cs="Times New Roman"/>
        </w:rPr>
        <w:t>Về sản l</w:t>
      </w:r>
      <w:r w:rsidRPr="00F76356">
        <w:rPr>
          <w:rFonts w:cs="Times New Roman"/>
          <w:lang w:val="vi-VN"/>
        </w:rPr>
        <w:t>ư</w:t>
      </w:r>
      <w:r w:rsidRPr="00F76356">
        <w:rPr>
          <w:rFonts w:cs="Times New Roman"/>
        </w:rPr>
        <w:t>ợng, năm 2016, sản l</w:t>
      </w:r>
      <w:r w:rsidRPr="00F76356">
        <w:rPr>
          <w:rFonts w:cs="Times New Roman"/>
          <w:lang w:val="vi-VN"/>
        </w:rPr>
        <w:t>ư</w:t>
      </w:r>
      <w:r w:rsidRPr="00F76356">
        <w:rPr>
          <w:rFonts w:cs="Times New Roman"/>
        </w:rPr>
        <w:t xml:space="preserve">ợng </w:t>
      </w:r>
      <w:r w:rsidRPr="00F76356">
        <w:rPr>
          <w:rFonts w:cs="Times New Roman"/>
          <w:lang w:val="vi-VN"/>
        </w:rPr>
        <w:t>cho vay ngang hàng</w:t>
      </w:r>
      <w:r w:rsidRPr="00F76356">
        <w:rPr>
          <w:rFonts w:cs="Times New Roman"/>
        </w:rPr>
        <w:t xml:space="preserve"> tại Anh đạt 3,5 </w:t>
      </w:r>
      <w:r w:rsidRPr="00F76356">
        <w:rPr>
          <w:rFonts w:cs="Times New Roman"/>
          <w:spacing w:val="2"/>
        </w:rPr>
        <w:t xml:space="preserve">tỷ </w:t>
      </w:r>
      <w:r w:rsidRPr="00F76356">
        <w:rPr>
          <w:rFonts w:cs="Times New Roman"/>
        </w:rPr>
        <w:t>bảng Anh,</w:t>
      </w:r>
      <w:r w:rsidRPr="00F76356">
        <w:rPr>
          <w:rFonts w:cs="Times New Roman"/>
          <w:lang w:val="vi-VN"/>
        </w:rPr>
        <w:t xml:space="preserve"> tăng</w:t>
      </w:r>
      <w:r w:rsidRPr="00F76356">
        <w:rPr>
          <w:rFonts w:cs="Times New Roman"/>
          <w:spacing w:val="-23"/>
        </w:rPr>
        <w:t xml:space="preserve"> </w:t>
      </w:r>
      <w:r w:rsidRPr="00F76356">
        <w:rPr>
          <w:rFonts w:cs="Times New Roman"/>
        </w:rPr>
        <w:t xml:space="preserve">48% so với năm 2015 (2,4 </w:t>
      </w:r>
      <w:r w:rsidRPr="00F76356">
        <w:rPr>
          <w:rFonts w:cs="Times New Roman"/>
          <w:spacing w:val="2"/>
        </w:rPr>
        <w:t xml:space="preserve">tỷ </w:t>
      </w:r>
      <w:r w:rsidRPr="00F76356">
        <w:rPr>
          <w:rFonts w:cs="Times New Roman"/>
        </w:rPr>
        <w:t>bảng Anh).</w:t>
      </w:r>
      <w:r w:rsidRPr="00F76356">
        <w:rPr>
          <w:rFonts w:cs="Times New Roman"/>
          <w:lang w:val="vi-VN"/>
        </w:rPr>
        <w:t xml:space="preserve"> </w:t>
      </w:r>
      <w:r w:rsidRPr="00FE4250">
        <w:rPr>
          <w:rFonts w:cs="Times New Roman"/>
          <w:lang w:val="vi-VN"/>
        </w:rPr>
        <w:t>Tuy nhiên, so với tốc độ tăng tr</w:t>
      </w:r>
      <w:r w:rsidRPr="00F76356">
        <w:rPr>
          <w:rFonts w:cs="Times New Roman"/>
          <w:lang w:val="vi-VN"/>
        </w:rPr>
        <w:t>ư</w:t>
      </w:r>
      <w:r w:rsidRPr="00FE4250">
        <w:rPr>
          <w:rFonts w:cs="Times New Roman"/>
          <w:lang w:val="vi-VN"/>
        </w:rPr>
        <w:t xml:space="preserve">ởng </w:t>
      </w:r>
      <w:r w:rsidRPr="00FE4250">
        <w:rPr>
          <w:rFonts w:cs="Times New Roman"/>
          <w:spacing w:val="-12"/>
          <w:lang w:val="vi-VN"/>
        </w:rPr>
        <w:t xml:space="preserve">giai </w:t>
      </w:r>
      <w:r w:rsidRPr="00FE4250">
        <w:rPr>
          <w:rFonts w:cs="Times New Roman"/>
          <w:spacing w:val="-3"/>
          <w:lang w:val="vi-VN"/>
        </w:rPr>
        <w:t>đoạn</w:t>
      </w:r>
      <w:r w:rsidRPr="00FE4250">
        <w:rPr>
          <w:rFonts w:cs="Times New Roman"/>
          <w:spacing w:val="-15"/>
          <w:lang w:val="vi-VN"/>
        </w:rPr>
        <w:t xml:space="preserve"> </w:t>
      </w:r>
      <w:r w:rsidRPr="00FE4250">
        <w:rPr>
          <w:rFonts w:cs="Times New Roman"/>
          <w:lang w:val="vi-VN"/>
        </w:rPr>
        <w:t>2014-2015</w:t>
      </w:r>
      <w:r w:rsidRPr="00FE4250">
        <w:rPr>
          <w:rFonts w:cs="Times New Roman"/>
          <w:spacing w:val="-14"/>
          <w:lang w:val="vi-VN"/>
        </w:rPr>
        <w:t xml:space="preserve"> </w:t>
      </w:r>
      <w:r w:rsidRPr="00FE4250">
        <w:rPr>
          <w:rFonts w:cs="Times New Roman"/>
          <w:lang w:val="vi-VN"/>
        </w:rPr>
        <w:t>(85%),</w:t>
      </w:r>
      <w:r w:rsidRPr="00FE4250">
        <w:rPr>
          <w:rFonts w:cs="Times New Roman"/>
          <w:spacing w:val="-14"/>
          <w:lang w:val="vi-VN"/>
        </w:rPr>
        <w:t xml:space="preserve"> </w:t>
      </w:r>
      <w:r w:rsidRPr="00FE4250">
        <w:rPr>
          <w:rFonts w:cs="Times New Roman"/>
          <w:lang w:val="vi-VN"/>
        </w:rPr>
        <w:t>tốc</w:t>
      </w:r>
      <w:r w:rsidRPr="00FE4250">
        <w:rPr>
          <w:rFonts w:cs="Times New Roman"/>
          <w:spacing w:val="-14"/>
          <w:lang w:val="vi-VN"/>
        </w:rPr>
        <w:t xml:space="preserve"> </w:t>
      </w:r>
      <w:r w:rsidRPr="00FE4250">
        <w:rPr>
          <w:rFonts w:cs="Times New Roman"/>
          <w:lang w:val="vi-VN"/>
        </w:rPr>
        <w:t>độ</w:t>
      </w:r>
      <w:r w:rsidRPr="00FE4250">
        <w:rPr>
          <w:rFonts w:cs="Times New Roman"/>
          <w:spacing w:val="-15"/>
          <w:lang w:val="vi-VN"/>
        </w:rPr>
        <w:t xml:space="preserve"> </w:t>
      </w:r>
      <w:r w:rsidRPr="00FE4250">
        <w:rPr>
          <w:rFonts w:cs="Times New Roman"/>
          <w:spacing w:val="-3"/>
          <w:lang w:val="vi-VN"/>
        </w:rPr>
        <w:t>tăng</w:t>
      </w:r>
      <w:r w:rsidRPr="00FE4250">
        <w:rPr>
          <w:rFonts w:cs="Times New Roman"/>
          <w:spacing w:val="-14"/>
          <w:lang w:val="vi-VN"/>
        </w:rPr>
        <w:t xml:space="preserve"> </w:t>
      </w:r>
      <w:r w:rsidRPr="00FE4250">
        <w:rPr>
          <w:rFonts w:cs="Times New Roman"/>
          <w:lang w:val="vi-VN"/>
        </w:rPr>
        <w:t>tr</w:t>
      </w:r>
      <w:r w:rsidRPr="00F76356">
        <w:rPr>
          <w:rFonts w:cs="Times New Roman"/>
          <w:lang w:val="vi-VN"/>
        </w:rPr>
        <w:t>ư</w:t>
      </w:r>
      <w:r w:rsidRPr="00FE4250">
        <w:rPr>
          <w:rFonts w:cs="Times New Roman"/>
          <w:lang w:val="vi-VN"/>
        </w:rPr>
        <w:t>ởng</w:t>
      </w:r>
      <w:r w:rsidRPr="00FE4250">
        <w:rPr>
          <w:rFonts w:cs="Times New Roman"/>
          <w:spacing w:val="-14"/>
          <w:lang w:val="vi-VN"/>
        </w:rPr>
        <w:t xml:space="preserve"> </w:t>
      </w:r>
      <w:r w:rsidRPr="00FE4250">
        <w:rPr>
          <w:rFonts w:cs="Times New Roman"/>
          <w:lang w:val="vi-VN"/>
        </w:rPr>
        <w:t>trong</w:t>
      </w:r>
      <w:r w:rsidRPr="00FE4250">
        <w:rPr>
          <w:rFonts w:cs="Times New Roman"/>
          <w:spacing w:val="-16"/>
          <w:lang w:val="vi-VN"/>
        </w:rPr>
        <w:t xml:space="preserve"> </w:t>
      </w:r>
      <w:r w:rsidRPr="00FE4250">
        <w:rPr>
          <w:rFonts w:cs="Times New Roman"/>
          <w:lang w:val="vi-VN"/>
        </w:rPr>
        <w:t>giai</w:t>
      </w:r>
      <w:r w:rsidRPr="00FE4250">
        <w:rPr>
          <w:rFonts w:cs="Times New Roman"/>
          <w:spacing w:val="-16"/>
          <w:lang w:val="vi-VN"/>
        </w:rPr>
        <w:t xml:space="preserve"> </w:t>
      </w:r>
      <w:r w:rsidRPr="00FE4250">
        <w:rPr>
          <w:rFonts w:cs="Times New Roman"/>
          <w:lang w:val="vi-VN"/>
        </w:rPr>
        <w:t>đoạn</w:t>
      </w:r>
      <w:r w:rsidRPr="00FE4250">
        <w:rPr>
          <w:rFonts w:cs="Times New Roman"/>
          <w:spacing w:val="-14"/>
          <w:lang w:val="vi-VN"/>
        </w:rPr>
        <w:t xml:space="preserve"> </w:t>
      </w:r>
      <w:r w:rsidRPr="00FE4250">
        <w:rPr>
          <w:rFonts w:cs="Times New Roman"/>
          <w:lang w:val="vi-VN"/>
        </w:rPr>
        <w:t>này</w:t>
      </w:r>
      <w:r w:rsidRPr="00FE4250">
        <w:rPr>
          <w:rFonts w:cs="Times New Roman"/>
          <w:spacing w:val="-18"/>
          <w:lang w:val="vi-VN"/>
        </w:rPr>
        <w:t xml:space="preserve"> </w:t>
      </w:r>
      <w:r w:rsidRPr="00FE4250">
        <w:rPr>
          <w:rFonts w:cs="Times New Roman"/>
          <w:lang w:val="vi-VN"/>
        </w:rPr>
        <w:t>đã</w:t>
      </w:r>
      <w:r w:rsidRPr="00FE4250">
        <w:rPr>
          <w:rFonts w:cs="Times New Roman"/>
          <w:spacing w:val="-14"/>
          <w:lang w:val="vi-VN"/>
        </w:rPr>
        <w:t xml:space="preserve"> </w:t>
      </w:r>
      <w:r w:rsidRPr="00FE4250">
        <w:rPr>
          <w:rFonts w:cs="Times New Roman"/>
          <w:lang w:val="vi-VN"/>
        </w:rPr>
        <w:t>giảm</w:t>
      </w:r>
      <w:r w:rsidRPr="00FE4250">
        <w:rPr>
          <w:rFonts w:cs="Times New Roman"/>
          <w:spacing w:val="-15"/>
          <w:lang w:val="vi-VN"/>
        </w:rPr>
        <w:t xml:space="preserve"> </w:t>
      </w:r>
      <w:r w:rsidRPr="00FE4250">
        <w:rPr>
          <w:rFonts w:cs="Times New Roman"/>
          <w:lang w:val="vi-VN"/>
        </w:rPr>
        <w:t>gần</w:t>
      </w:r>
      <w:r w:rsidRPr="00FE4250">
        <w:rPr>
          <w:rFonts w:cs="Times New Roman"/>
          <w:spacing w:val="-14"/>
          <w:lang w:val="vi-VN"/>
        </w:rPr>
        <w:t xml:space="preserve"> </w:t>
      </w:r>
      <w:r w:rsidRPr="00FE4250">
        <w:rPr>
          <w:rFonts w:cs="Times New Roman"/>
          <w:lang w:val="vi-VN"/>
        </w:rPr>
        <w:t>một</w:t>
      </w:r>
      <w:r w:rsidRPr="00FE4250">
        <w:rPr>
          <w:rFonts w:cs="Times New Roman"/>
          <w:spacing w:val="-14"/>
          <w:lang w:val="vi-VN"/>
        </w:rPr>
        <w:t xml:space="preserve"> </w:t>
      </w:r>
      <w:r w:rsidRPr="00FE4250">
        <w:rPr>
          <w:rFonts w:cs="Times New Roman"/>
          <w:spacing w:val="-3"/>
          <w:lang w:val="vi-VN"/>
        </w:rPr>
        <w:t>nửa.</w:t>
      </w:r>
    </w:p>
    <w:p w14:paraId="7C8C5630" w14:textId="77777777" w:rsidR="007E055C" w:rsidRPr="00FE4250" w:rsidRDefault="007E055C" w:rsidP="00DA5916">
      <w:pPr>
        <w:pStyle w:val="0BANG"/>
        <w:rPr>
          <w:rFonts w:cs="Times New Roman"/>
          <w:lang w:val="vi-VN"/>
        </w:rPr>
      </w:pPr>
      <w:bookmarkStart w:id="10" w:name="_Toc134387191"/>
      <w:r w:rsidRPr="00FE4250">
        <w:rPr>
          <w:rFonts w:cs="Times New Roman"/>
          <w:lang w:val="vi-VN"/>
        </w:rPr>
        <w:t>Bảng</w:t>
      </w:r>
      <w:r w:rsidRPr="00FE4250">
        <w:rPr>
          <w:rFonts w:cs="Times New Roman"/>
          <w:spacing w:val="-10"/>
          <w:lang w:val="vi-VN"/>
        </w:rPr>
        <w:t xml:space="preserve"> </w:t>
      </w:r>
      <w:r w:rsidRPr="00FE4250">
        <w:rPr>
          <w:rFonts w:cs="Times New Roman"/>
          <w:lang w:val="vi-VN"/>
        </w:rPr>
        <w:t>2.1:</w:t>
      </w:r>
      <w:r w:rsidRPr="00FE4250">
        <w:rPr>
          <w:rFonts w:cs="Times New Roman"/>
          <w:spacing w:val="-7"/>
          <w:lang w:val="vi-VN"/>
        </w:rPr>
        <w:t xml:space="preserve"> </w:t>
      </w:r>
      <w:r w:rsidRPr="00FE4250">
        <w:rPr>
          <w:rFonts w:cs="Times New Roman"/>
          <w:lang w:val="vi-VN"/>
        </w:rPr>
        <w:t>Sản</w:t>
      </w:r>
      <w:r w:rsidRPr="00FE4250">
        <w:rPr>
          <w:rFonts w:cs="Times New Roman"/>
          <w:spacing w:val="-10"/>
          <w:lang w:val="vi-VN"/>
        </w:rPr>
        <w:t xml:space="preserve"> </w:t>
      </w:r>
      <w:r w:rsidRPr="00FE4250">
        <w:rPr>
          <w:rFonts w:cs="Times New Roman"/>
          <w:lang w:val="vi-VN"/>
        </w:rPr>
        <w:t>lượng</w:t>
      </w:r>
      <w:r w:rsidRPr="00FE4250">
        <w:rPr>
          <w:rFonts w:cs="Times New Roman"/>
          <w:spacing w:val="-9"/>
          <w:lang w:val="vi-VN"/>
        </w:rPr>
        <w:t xml:space="preserve"> </w:t>
      </w:r>
      <w:r w:rsidRPr="00FE4250">
        <w:rPr>
          <w:rFonts w:cs="Times New Roman"/>
          <w:lang w:val="vi-VN"/>
        </w:rPr>
        <w:t>và</w:t>
      </w:r>
      <w:r w:rsidRPr="00FE4250">
        <w:rPr>
          <w:rFonts w:cs="Times New Roman"/>
          <w:spacing w:val="-9"/>
          <w:lang w:val="vi-VN"/>
        </w:rPr>
        <w:t xml:space="preserve"> </w:t>
      </w:r>
      <w:r w:rsidRPr="00FE4250">
        <w:rPr>
          <w:rFonts w:cs="Times New Roman"/>
          <w:lang w:val="vi-VN"/>
        </w:rPr>
        <w:t>tăng</w:t>
      </w:r>
      <w:r w:rsidRPr="00FE4250">
        <w:rPr>
          <w:rFonts w:cs="Times New Roman"/>
          <w:spacing w:val="-10"/>
          <w:lang w:val="vi-VN"/>
        </w:rPr>
        <w:t xml:space="preserve"> </w:t>
      </w:r>
      <w:r w:rsidRPr="00FE4250">
        <w:rPr>
          <w:rFonts w:cs="Times New Roman"/>
          <w:lang w:val="vi-VN"/>
        </w:rPr>
        <w:t>trưởng</w:t>
      </w:r>
      <w:r w:rsidRPr="00FE4250">
        <w:rPr>
          <w:rFonts w:cs="Times New Roman"/>
          <w:spacing w:val="-9"/>
          <w:lang w:val="vi-VN"/>
        </w:rPr>
        <w:t xml:space="preserve"> </w:t>
      </w:r>
      <w:r w:rsidRPr="00FE4250">
        <w:rPr>
          <w:rFonts w:cs="Times New Roman"/>
          <w:lang w:val="vi-VN"/>
        </w:rPr>
        <w:t>của</w:t>
      </w:r>
      <w:r w:rsidRPr="00FE4250">
        <w:rPr>
          <w:rFonts w:cs="Times New Roman"/>
          <w:spacing w:val="-9"/>
          <w:lang w:val="vi-VN"/>
        </w:rPr>
        <w:t xml:space="preserve"> </w:t>
      </w:r>
      <w:r w:rsidRPr="00FE4250">
        <w:rPr>
          <w:rFonts w:cs="Times New Roman"/>
          <w:lang w:val="vi-VN"/>
        </w:rPr>
        <w:t>các</w:t>
      </w:r>
      <w:r w:rsidRPr="00FE4250">
        <w:rPr>
          <w:rFonts w:cs="Times New Roman"/>
          <w:spacing w:val="-7"/>
          <w:lang w:val="vi-VN"/>
        </w:rPr>
        <w:t xml:space="preserve"> </w:t>
      </w:r>
      <w:r w:rsidRPr="00FE4250">
        <w:rPr>
          <w:rFonts w:cs="Times New Roman"/>
          <w:lang w:val="vi-VN"/>
        </w:rPr>
        <w:t>mô</w:t>
      </w:r>
      <w:r w:rsidRPr="00FE4250">
        <w:rPr>
          <w:rFonts w:cs="Times New Roman"/>
          <w:spacing w:val="-10"/>
          <w:lang w:val="vi-VN"/>
        </w:rPr>
        <w:t xml:space="preserve"> </w:t>
      </w:r>
      <w:r w:rsidRPr="00FE4250">
        <w:rPr>
          <w:rFonts w:cs="Times New Roman"/>
          <w:lang w:val="vi-VN"/>
        </w:rPr>
        <w:t>hình</w:t>
      </w:r>
      <w:r w:rsidRPr="00FE4250">
        <w:rPr>
          <w:rFonts w:cs="Times New Roman"/>
          <w:spacing w:val="-6"/>
          <w:lang w:val="vi-VN"/>
        </w:rPr>
        <w:t xml:space="preserve"> </w:t>
      </w:r>
      <w:r w:rsidRPr="00FE4250">
        <w:rPr>
          <w:rFonts w:cs="Times New Roman"/>
          <w:lang w:val="vi-VN"/>
        </w:rPr>
        <w:t>Cho</w:t>
      </w:r>
      <w:r w:rsidRPr="00FE4250">
        <w:rPr>
          <w:rFonts w:cs="Times New Roman"/>
          <w:spacing w:val="-10"/>
          <w:lang w:val="vi-VN"/>
        </w:rPr>
        <w:t xml:space="preserve"> </w:t>
      </w:r>
      <w:r w:rsidRPr="00FE4250">
        <w:rPr>
          <w:rFonts w:cs="Times New Roman"/>
          <w:lang w:val="vi-VN"/>
        </w:rPr>
        <w:t>vay</w:t>
      </w:r>
      <w:r w:rsidRPr="00FE4250">
        <w:rPr>
          <w:rFonts w:cs="Times New Roman"/>
          <w:spacing w:val="-7"/>
          <w:lang w:val="vi-VN"/>
        </w:rPr>
        <w:t xml:space="preserve"> </w:t>
      </w:r>
      <w:r w:rsidRPr="00FE4250">
        <w:rPr>
          <w:rFonts w:cs="Times New Roman"/>
          <w:lang w:val="vi-VN"/>
        </w:rPr>
        <w:t>ngang</w:t>
      </w:r>
      <w:r w:rsidRPr="00FE4250">
        <w:rPr>
          <w:rFonts w:cs="Times New Roman"/>
          <w:spacing w:val="-10"/>
          <w:lang w:val="vi-VN"/>
        </w:rPr>
        <w:t xml:space="preserve"> </w:t>
      </w:r>
      <w:r w:rsidRPr="00FE4250">
        <w:rPr>
          <w:rFonts w:cs="Times New Roman"/>
          <w:spacing w:val="-25"/>
          <w:lang w:val="vi-VN"/>
        </w:rPr>
        <w:t xml:space="preserve">hàng  </w:t>
      </w:r>
      <w:r w:rsidRPr="00FE4250">
        <w:rPr>
          <w:rFonts w:cs="Times New Roman"/>
          <w:lang w:val="vi-VN"/>
        </w:rPr>
        <w:t>tại Anh giai đoạn</w:t>
      </w:r>
      <w:r w:rsidRPr="00FE4250">
        <w:rPr>
          <w:rFonts w:cs="Times New Roman"/>
          <w:spacing w:val="-5"/>
          <w:lang w:val="vi-VN"/>
        </w:rPr>
        <w:t xml:space="preserve"> </w:t>
      </w:r>
      <w:r w:rsidRPr="00FE4250">
        <w:rPr>
          <w:rFonts w:cs="Times New Roman"/>
          <w:lang w:val="vi-VN"/>
        </w:rPr>
        <w:t>2013-2016.</w:t>
      </w:r>
      <w:bookmarkEnd w:id="10"/>
    </w:p>
    <w:p w14:paraId="2ED3787C" w14:textId="77777777" w:rsidR="007E055C" w:rsidRPr="00FE4250" w:rsidRDefault="007E055C" w:rsidP="002D3EED">
      <w:pPr>
        <w:pStyle w:val="0NGUON"/>
        <w:rPr>
          <w:rFonts w:cs="Times New Roman"/>
          <w:lang w:val="vi-VN"/>
        </w:rPr>
      </w:pPr>
      <w:r w:rsidRPr="00FE4250">
        <w:rPr>
          <w:rFonts w:cs="Times New Roman"/>
          <w:lang w:val="vi-VN"/>
        </w:rPr>
        <w:t>Đơn vị: Triệu bảng Anh.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080"/>
        <w:gridCol w:w="1080"/>
        <w:gridCol w:w="1080"/>
        <w:gridCol w:w="1081"/>
        <w:gridCol w:w="1092"/>
        <w:gridCol w:w="1080"/>
      </w:tblGrid>
      <w:tr w:rsidR="002D3EED" w:rsidRPr="00F76356" w14:paraId="4CEDD870" w14:textId="77777777" w:rsidTr="002D3EED">
        <w:trPr>
          <w:trHeight w:val="20"/>
        </w:trPr>
        <w:tc>
          <w:tcPr>
            <w:tcW w:w="2021" w:type="dxa"/>
            <w:vMerge w:val="restart"/>
            <w:vAlign w:val="center"/>
          </w:tcPr>
          <w:p w14:paraId="1725EBA0"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Mô hình CVNH</w:t>
            </w:r>
          </w:p>
        </w:tc>
        <w:tc>
          <w:tcPr>
            <w:tcW w:w="2160" w:type="dxa"/>
            <w:gridSpan w:val="2"/>
            <w:vAlign w:val="center"/>
          </w:tcPr>
          <w:p w14:paraId="24CD1C54"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2014</w:t>
            </w:r>
          </w:p>
        </w:tc>
        <w:tc>
          <w:tcPr>
            <w:tcW w:w="2161" w:type="dxa"/>
            <w:gridSpan w:val="2"/>
            <w:vAlign w:val="center"/>
          </w:tcPr>
          <w:p w14:paraId="6BC48A7B"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2015</w:t>
            </w:r>
          </w:p>
        </w:tc>
        <w:tc>
          <w:tcPr>
            <w:tcW w:w="2172" w:type="dxa"/>
            <w:gridSpan w:val="2"/>
            <w:vAlign w:val="center"/>
          </w:tcPr>
          <w:p w14:paraId="6E018F92"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2016</w:t>
            </w:r>
          </w:p>
        </w:tc>
      </w:tr>
      <w:tr w:rsidR="002D3EED" w:rsidRPr="00F76356" w14:paraId="79B522C7" w14:textId="77777777" w:rsidTr="002D3EED">
        <w:trPr>
          <w:trHeight w:val="20"/>
        </w:trPr>
        <w:tc>
          <w:tcPr>
            <w:tcW w:w="2021" w:type="dxa"/>
            <w:vMerge/>
            <w:tcBorders>
              <w:top w:val="nil"/>
            </w:tcBorders>
            <w:vAlign w:val="center"/>
          </w:tcPr>
          <w:p w14:paraId="5B951907" w14:textId="77777777" w:rsidR="007E055C" w:rsidRPr="00F76356" w:rsidRDefault="007E055C" w:rsidP="002D3EED">
            <w:pPr>
              <w:spacing w:before="60" w:after="60" w:line="240" w:lineRule="auto"/>
              <w:ind w:left="0" w:firstLine="0"/>
              <w:jc w:val="center"/>
              <w:rPr>
                <w:rFonts w:ascii="Times New Roman" w:hAnsi="Times New Roman" w:cs="Times New Roman"/>
                <w:b/>
                <w:sz w:val="26"/>
                <w:szCs w:val="26"/>
              </w:rPr>
            </w:pPr>
          </w:p>
        </w:tc>
        <w:tc>
          <w:tcPr>
            <w:tcW w:w="1080" w:type="dxa"/>
            <w:vAlign w:val="center"/>
          </w:tcPr>
          <w:p w14:paraId="01EE014E"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Quy mô</w:t>
            </w:r>
          </w:p>
        </w:tc>
        <w:tc>
          <w:tcPr>
            <w:tcW w:w="1080" w:type="dxa"/>
            <w:vAlign w:val="center"/>
          </w:tcPr>
          <w:p w14:paraId="0C1EF430" w14:textId="5D524942" w:rsidR="007E055C" w:rsidRPr="00F76356" w:rsidRDefault="007E055C" w:rsidP="002D3EED">
            <w:pPr>
              <w:pStyle w:val="TableParagraph"/>
              <w:spacing w:before="60" w:after="60"/>
              <w:ind w:left="0" w:firstLine="0"/>
              <w:jc w:val="center"/>
              <w:rPr>
                <w:b/>
                <w:sz w:val="26"/>
                <w:szCs w:val="26"/>
                <w:lang w:val="en-US"/>
              </w:rPr>
            </w:pPr>
            <w:r w:rsidRPr="00F76356">
              <w:rPr>
                <w:b/>
                <w:sz w:val="26"/>
                <w:szCs w:val="26"/>
              </w:rPr>
              <w:t>Tỷ</w:t>
            </w:r>
          </w:p>
          <w:p w14:paraId="1A8A8B8A" w14:textId="38D14A4F" w:rsidR="007E055C" w:rsidRPr="00F76356" w:rsidRDefault="007E055C" w:rsidP="002D3EED">
            <w:pPr>
              <w:pStyle w:val="TableParagraph"/>
              <w:spacing w:before="60" w:after="60"/>
              <w:ind w:left="0" w:firstLine="0"/>
              <w:jc w:val="center"/>
              <w:rPr>
                <w:b/>
                <w:sz w:val="26"/>
                <w:szCs w:val="26"/>
              </w:rPr>
            </w:pPr>
            <w:r w:rsidRPr="00F76356">
              <w:rPr>
                <w:b/>
                <w:sz w:val="26"/>
                <w:szCs w:val="26"/>
              </w:rPr>
              <w:t>trọng</w:t>
            </w:r>
          </w:p>
        </w:tc>
        <w:tc>
          <w:tcPr>
            <w:tcW w:w="1080" w:type="dxa"/>
            <w:vAlign w:val="center"/>
          </w:tcPr>
          <w:p w14:paraId="5017E627"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Quy mô</w:t>
            </w:r>
          </w:p>
        </w:tc>
        <w:tc>
          <w:tcPr>
            <w:tcW w:w="1081" w:type="dxa"/>
            <w:vAlign w:val="center"/>
          </w:tcPr>
          <w:p w14:paraId="3FE548C6"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Tỷ</w:t>
            </w:r>
          </w:p>
          <w:p w14:paraId="5A25AF44"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trọng</w:t>
            </w:r>
          </w:p>
        </w:tc>
        <w:tc>
          <w:tcPr>
            <w:tcW w:w="1092" w:type="dxa"/>
            <w:vAlign w:val="center"/>
          </w:tcPr>
          <w:p w14:paraId="72C1ADA6"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Quy mô</w:t>
            </w:r>
          </w:p>
        </w:tc>
        <w:tc>
          <w:tcPr>
            <w:tcW w:w="1080" w:type="dxa"/>
            <w:vAlign w:val="center"/>
          </w:tcPr>
          <w:p w14:paraId="0B2FB35E"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Tỷ</w:t>
            </w:r>
          </w:p>
          <w:p w14:paraId="4000CC94" w14:textId="77777777" w:rsidR="007E055C" w:rsidRPr="00F76356" w:rsidRDefault="007E055C" w:rsidP="002D3EED">
            <w:pPr>
              <w:pStyle w:val="TableParagraph"/>
              <w:spacing w:before="60" w:after="60"/>
              <w:ind w:left="0" w:firstLine="0"/>
              <w:jc w:val="center"/>
              <w:rPr>
                <w:b/>
                <w:sz w:val="26"/>
                <w:szCs w:val="26"/>
              </w:rPr>
            </w:pPr>
            <w:r w:rsidRPr="00F76356">
              <w:rPr>
                <w:b/>
                <w:sz w:val="26"/>
                <w:szCs w:val="26"/>
              </w:rPr>
              <w:t>trọng</w:t>
            </w:r>
          </w:p>
        </w:tc>
      </w:tr>
      <w:tr w:rsidR="002D3EED" w:rsidRPr="00F76356" w14:paraId="713C8005" w14:textId="77777777" w:rsidTr="002D3EED">
        <w:trPr>
          <w:trHeight w:val="20"/>
        </w:trPr>
        <w:tc>
          <w:tcPr>
            <w:tcW w:w="2021" w:type="dxa"/>
          </w:tcPr>
          <w:p w14:paraId="35042467" w14:textId="77777777" w:rsidR="007E055C" w:rsidRPr="00F76356" w:rsidRDefault="007E055C" w:rsidP="002D3EED">
            <w:pPr>
              <w:pStyle w:val="TableParagraph"/>
              <w:spacing w:before="60" w:after="60"/>
              <w:ind w:left="0" w:firstLine="0"/>
              <w:rPr>
                <w:sz w:val="26"/>
                <w:szCs w:val="26"/>
              </w:rPr>
            </w:pPr>
            <w:r w:rsidRPr="00F76356">
              <w:rPr>
                <w:sz w:val="26"/>
                <w:szCs w:val="26"/>
              </w:rPr>
              <w:t>Tiêu dùng</w:t>
            </w:r>
          </w:p>
        </w:tc>
        <w:tc>
          <w:tcPr>
            <w:tcW w:w="1080" w:type="dxa"/>
          </w:tcPr>
          <w:p w14:paraId="7AF563D9" w14:textId="77777777" w:rsidR="007E055C" w:rsidRPr="00F76356" w:rsidRDefault="007E055C" w:rsidP="002D3EED">
            <w:pPr>
              <w:pStyle w:val="TableParagraph"/>
              <w:spacing w:before="60" w:after="60"/>
              <w:ind w:left="0" w:firstLine="0"/>
              <w:rPr>
                <w:sz w:val="26"/>
                <w:szCs w:val="26"/>
              </w:rPr>
            </w:pPr>
            <w:r w:rsidRPr="00F76356">
              <w:rPr>
                <w:sz w:val="26"/>
                <w:szCs w:val="26"/>
              </w:rPr>
              <w:t>749</w:t>
            </w:r>
          </w:p>
        </w:tc>
        <w:tc>
          <w:tcPr>
            <w:tcW w:w="1080" w:type="dxa"/>
          </w:tcPr>
          <w:p w14:paraId="33047345" w14:textId="77777777" w:rsidR="007E055C" w:rsidRPr="00F76356" w:rsidRDefault="007E055C" w:rsidP="002D3EED">
            <w:pPr>
              <w:pStyle w:val="TableParagraph"/>
              <w:spacing w:before="60" w:after="60"/>
              <w:ind w:left="0" w:firstLine="0"/>
              <w:rPr>
                <w:sz w:val="26"/>
                <w:szCs w:val="26"/>
              </w:rPr>
            </w:pPr>
            <w:r w:rsidRPr="00F76356">
              <w:rPr>
                <w:sz w:val="26"/>
                <w:szCs w:val="26"/>
              </w:rPr>
              <w:t>58%</w:t>
            </w:r>
          </w:p>
        </w:tc>
        <w:tc>
          <w:tcPr>
            <w:tcW w:w="1080" w:type="dxa"/>
          </w:tcPr>
          <w:p w14:paraId="4CC6E639" w14:textId="77777777" w:rsidR="007E055C" w:rsidRPr="00F76356" w:rsidRDefault="007E055C" w:rsidP="002D3EED">
            <w:pPr>
              <w:pStyle w:val="TableParagraph"/>
              <w:spacing w:before="60" w:after="60"/>
              <w:ind w:left="0" w:firstLine="0"/>
              <w:rPr>
                <w:sz w:val="26"/>
                <w:szCs w:val="26"/>
              </w:rPr>
            </w:pPr>
            <w:r w:rsidRPr="00F76356">
              <w:rPr>
                <w:sz w:val="26"/>
                <w:szCs w:val="26"/>
              </w:rPr>
              <w:t>881</w:t>
            </w:r>
          </w:p>
        </w:tc>
        <w:tc>
          <w:tcPr>
            <w:tcW w:w="1081" w:type="dxa"/>
          </w:tcPr>
          <w:p w14:paraId="057AEF7A" w14:textId="77777777" w:rsidR="007E055C" w:rsidRPr="00F76356" w:rsidRDefault="007E055C" w:rsidP="002D3EED">
            <w:pPr>
              <w:pStyle w:val="TableParagraph"/>
              <w:spacing w:before="60" w:after="60"/>
              <w:ind w:left="0" w:firstLine="0"/>
              <w:rPr>
                <w:sz w:val="26"/>
                <w:szCs w:val="26"/>
              </w:rPr>
            </w:pPr>
            <w:r w:rsidRPr="00F76356">
              <w:rPr>
                <w:sz w:val="26"/>
                <w:szCs w:val="26"/>
              </w:rPr>
              <w:t>37%</w:t>
            </w:r>
          </w:p>
        </w:tc>
        <w:tc>
          <w:tcPr>
            <w:tcW w:w="1092" w:type="dxa"/>
          </w:tcPr>
          <w:p w14:paraId="5841DBD5" w14:textId="77777777" w:rsidR="007E055C" w:rsidRPr="00F76356" w:rsidRDefault="007E055C" w:rsidP="002D3EED">
            <w:pPr>
              <w:pStyle w:val="TableParagraph"/>
              <w:spacing w:before="60" w:after="60"/>
              <w:ind w:left="0" w:firstLine="0"/>
              <w:rPr>
                <w:sz w:val="26"/>
                <w:szCs w:val="26"/>
              </w:rPr>
            </w:pPr>
            <w:r w:rsidRPr="00F76356">
              <w:rPr>
                <w:sz w:val="26"/>
                <w:szCs w:val="26"/>
              </w:rPr>
              <w:t>1.232</w:t>
            </w:r>
          </w:p>
        </w:tc>
        <w:tc>
          <w:tcPr>
            <w:tcW w:w="1080" w:type="dxa"/>
          </w:tcPr>
          <w:p w14:paraId="719B6347" w14:textId="77777777" w:rsidR="007E055C" w:rsidRPr="00F76356" w:rsidRDefault="007E055C" w:rsidP="002D3EED">
            <w:pPr>
              <w:pStyle w:val="TableParagraph"/>
              <w:spacing w:before="60" w:after="60"/>
              <w:ind w:left="0" w:firstLine="0"/>
              <w:rPr>
                <w:sz w:val="26"/>
                <w:szCs w:val="26"/>
              </w:rPr>
            </w:pPr>
            <w:r w:rsidRPr="00F76356">
              <w:rPr>
                <w:w w:val="95"/>
                <w:sz w:val="26"/>
                <w:szCs w:val="26"/>
              </w:rPr>
              <w:t>35%</w:t>
            </w:r>
          </w:p>
        </w:tc>
      </w:tr>
      <w:tr w:rsidR="002D3EED" w:rsidRPr="00F76356" w14:paraId="0F17ACCF" w14:textId="77777777" w:rsidTr="002D3EED">
        <w:trPr>
          <w:trHeight w:val="20"/>
        </w:trPr>
        <w:tc>
          <w:tcPr>
            <w:tcW w:w="2021" w:type="dxa"/>
          </w:tcPr>
          <w:p w14:paraId="390828F1" w14:textId="77777777" w:rsidR="007E055C" w:rsidRPr="00F76356" w:rsidRDefault="007E055C" w:rsidP="002D3EED">
            <w:pPr>
              <w:pStyle w:val="TableParagraph"/>
              <w:spacing w:before="60" w:after="60"/>
              <w:ind w:left="0" w:firstLine="0"/>
              <w:rPr>
                <w:sz w:val="26"/>
                <w:szCs w:val="26"/>
              </w:rPr>
            </w:pPr>
            <w:r w:rsidRPr="00F76356">
              <w:rPr>
                <w:sz w:val="26"/>
                <w:szCs w:val="26"/>
              </w:rPr>
              <w:t>Th</w:t>
            </w:r>
            <w:r w:rsidRPr="00F76356">
              <w:rPr>
                <w:sz w:val="26"/>
                <w:szCs w:val="26"/>
                <w:lang w:val="en-US"/>
              </w:rPr>
              <w:t>ư</w:t>
            </w:r>
            <w:r w:rsidRPr="00F76356">
              <w:rPr>
                <w:sz w:val="26"/>
                <w:szCs w:val="26"/>
              </w:rPr>
              <w:t>ơng mại</w:t>
            </w:r>
          </w:p>
        </w:tc>
        <w:tc>
          <w:tcPr>
            <w:tcW w:w="1080" w:type="dxa"/>
          </w:tcPr>
          <w:p w14:paraId="09177966" w14:textId="77777777" w:rsidR="007E055C" w:rsidRPr="00F76356" w:rsidRDefault="007E055C" w:rsidP="002D3EED">
            <w:pPr>
              <w:pStyle w:val="TableParagraph"/>
              <w:spacing w:before="60" w:after="60"/>
              <w:ind w:left="0" w:firstLine="0"/>
              <w:rPr>
                <w:sz w:val="26"/>
                <w:szCs w:val="26"/>
              </w:rPr>
            </w:pPr>
            <w:r w:rsidRPr="00F76356">
              <w:rPr>
                <w:sz w:val="26"/>
                <w:szCs w:val="26"/>
              </w:rPr>
              <w:t>547</w:t>
            </w:r>
          </w:p>
        </w:tc>
        <w:tc>
          <w:tcPr>
            <w:tcW w:w="1080" w:type="dxa"/>
          </w:tcPr>
          <w:p w14:paraId="6498FB58" w14:textId="77777777" w:rsidR="007E055C" w:rsidRPr="00F76356" w:rsidRDefault="007E055C" w:rsidP="002D3EED">
            <w:pPr>
              <w:pStyle w:val="TableParagraph"/>
              <w:spacing w:before="60" w:after="60"/>
              <w:ind w:left="0" w:firstLine="0"/>
              <w:rPr>
                <w:sz w:val="26"/>
                <w:szCs w:val="26"/>
              </w:rPr>
            </w:pPr>
            <w:r w:rsidRPr="00F76356">
              <w:rPr>
                <w:sz w:val="26"/>
                <w:szCs w:val="26"/>
              </w:rPr>
              <w:t>42%</w:t>
            </w:r>
          </w:p>
        </w:tc>
        <w:tc>
          <w:tcPr>
            <w:tcW w:w="1080" w:type="dxa"/>
          </w:tcPr>
          <w:p w14:paraId="5BEF4F23" w14:textId="77777777" w:rsidR="007E055C" w:rsidRPr="00F76356" w:rsidRDefault="007E055C" w:rsidP="002D3EED">
            <w:pPr>
              <w:pStyle w:val="TableParagraph"/>
              <w:spacing w:before="60" w:after="60"/>
              <w:ind w:left="0" w:firstLine="0"/>
              <w:rPr>
                <w:sz w:val="26"/>
                <w:szCs w:val="26"/>
              </w:rPr>
            </w:pPr>
            <w:r w:rsidRPr="00F76356">
              <w:rPr>
                <w:sz w:val="26"/>
                <w:szCs w:val="26"/>
              </w:rPr>
              <w:t>909</w:t>
            </w:r>
          </w:p>
        </w:tc>
        <w:tc>
          <w:tcPr>
            <w:tcW w:w="1081" w:type="dxa"/>
          </w:tcPr>
          <w:p w14:paraId="06BBC856" w14:textId="77777777" w:rsidR="007E055C" w:rsidRPr="00F76356" w:rsidRDefault="007E055C" w:rsidP="002D3EED">
            <w:pPr>
              <w:pStyle w:val="TableParagraph"/>
              <w:spacing w:before="60" w:after="60"/>
              <w:ind w:left="0" w:firstLine="0"/>
              <w:rPr>
                <w:sz w:val="26"/>
                <w:szCs w:val="26"/>
              </w:rPr>
            </w:pPr>
            <w:r w:rsidRPr="00F76356">
              <w:rPr>
                <w:sz w:val="26"/>
                <w:szCs w:val="26"/>
              </w:rPr>
              <w:t>38%</w:t>
            </w:r>
          </w:p>
        </w:tc>
        <w:tc>
          <w:tcPr>
            <w:tcW w:w="1092" w:type="dxa"/>
          </w:tcPr>
          <w:p w14:paraId="6D013DD1" w14:textId="77777777" w:rsidR="007E055C" w:rsidRPr="00F76356" w:rsidRDefault="007E055C" w:rsidP="002D3EED">
            <w:pPr>
              <w:pStyle w:val="TableParagraph"/>
              <w:spacing w:before="60" w:after="60"/>
              <w:ind w:left="0" w:firstLine="0"/>
              <w:rPr>
                <w:sz w:val="26"/>
                <w:szCs w:val="26"/>
              </w:rPr>
            </w:pPr>
            <w:r w:rsidRPr="00F76356">
              <w:rPr>
                <w:sz w:val="26"/>
                <w:szCs w:val="26"/>
              </w:rPr>
              <w:t>1.169</w:t>
            </w:r>
          </w:p>
        </w:tc>
        <w:tc>
          <w:tcPr>
            <w:tcW w:w="1080" w:type="dxa"/>
          </w:tcPr>
          <w:p w14:paraId="63AD6C11" w14:textId="77777777" w:rsidR="007E055C" w:rsidRPr="00F76356" w:rsidRDefault="007E055C" w:rsidP="002D3EED">
            <w:pPr>
              <w:pStyle w:val="TableParagraph"/>
              <w:spacing w:before="60" w:after="60"/>
              <w:ind w:left="0" w:firstLine="0"/>
              <w:rPr>
                <w:sz w:val="26"/>
                <w:szCs w:val="26"/>
              </w:rPr>
            </w:pPr>
            <w:r w:rsidRPr="00F76356">
              <w:rPr>
                <w:w w:val="95"/>
                <w:sz w:val="26"/>
                <w:szCs w:val="26"/>
              </w:rPr>
              <w:t>33%</w:t>
            </w:r>
          </w:p>
        </w:tc>
      </w:tr>
      <w:tr w:rsidR="002D3EED" w:rsidRPr="00F76356" w14:paraId="60404BD3" w14:textId="77777777" w:rsidTr="002D3EED">
        <w:trPr>
          <w:trHeight w:val="20"/>
        </w:trPr>
        <w:tc>
          <w:tcPr>
            <w:tcW w:w="2021" w:type="dxa"/>
          </w:tcPr>
          <w:p w14:paraId="1A4D3281" w14:textId="77777777" w:rsidR="007E055C" w:rsidRPr="00F76356" w:rsidRDefault="007E055C" w:rsidP="002D3EED">
            <w:pPr>
              <w:pStyle w:val="TableParagraph"/>
              <w:spacing w:before="60" w:after="60"/>
              <w:ind w:left="0" w:firstLine="0"/>
              <w:rPr>
                <w:sz w:val="26"/>
                <w:szCs w:val="26"/>
              </w:rPr>
            </w:pPr>
            <w:r w:rsidRPr="00F76356">
              <w:rPr>
                <w:sz w:val="26"/>
                <w:szCs w:val="26"/>
              </w:rPr>
              <w:t>Bất động sản</w:t>
            </w:r>
          </w:p>
        </w:tc>
        <w:tc>
          <w:tcPr>
            <w:tcW w:w="1080" w:type="dxa"/>
          </w:tcPr>
          <w:p w14:paraId="1E974646" w14:textId="77777777" w:rsidR="007E055C" w:rsidRPr="00F76356" w:rsidRDefault="007E055C" w:rsidP="002D3EED">
            <w:pPr>
              <w:pStyle w:val="TableParagraph"/>
              <w:spacing w:before="60" w:after="60"/>
              <w:ind w:left="0" w:firstLine="0"/>
              <w:rPr>
                <w:sz w:val="26"/>
                <w:szCs w:val="26"/>
              </w:rPr>
            </w:pPr>
            <w:r w:rsidRPr="00F76356">
              <w:rPr>
                <w:w w:val="99"/>
                <w:sz w:val="26"/>
                <w:szCs w:val="26"/>
              </w:rPr>
              <w:t>-</w:t>
            </w:r>
          </w:p>
        </w:tc>
        <w:tc>
          <w:tcPr>
            <w:tcW w:w="1080" w:type="dxa"/>
          </w:tcPr>
          <w:p w14:paraId="2C6FA2E1" w14:textId="77777777" w:rsidR="007E055C" w:rsidRPr="00F76356" w:rsidRDefault="007E055C" w:rsidP="002D3EED">
            <w:pPr>
              <w:pStyle w:val="TableParagraph"/>
              <w:spacing w:before="60" w:after="60"/>
              <w:ind w:left="0" w:firstLine="0"/>
              <w:rPr>
                <w:sz w:val="26"/>
                <w:szCs w:val="26"/>
              </w:rPr>
            </w:pPr>
            <w:r w:rsidRPr="00F76356">
              <w:rPr>
                <w:w w:val="99"/>
                <w:sz w:val="26"/>
                <w:szCs w:val="26"/>
              </w:rPr>
              <w:t>-</w:t>
            </w:r>
          </w:p>
        </w:tc>
        <w:tc>
          <w:tcPr>
            <w:tcW w:w="1080" w:type="dxa"/>
          </w:tcPr>
          <w:p w14:paraId="51C85519" w14:textId="77777777" w:rsidR="007E055C" w:rsidRPr="00F76356" w:rsidRDefault="007E055C" w:rsidP="002D3EED">
            <w:pPr>
              <w:pStyle w:val="TableParagraph"/>
              <w:spacing w:before="60" w:after="60"/>
              <w:ind w:left="0" w:firstLine="0"/>
              <w:rPr>
                <w:sz w:val="26"/>
                <w:szCs w:val="26"/>
              </w:rPr>
            </w:pPr>
            <w:r w:rsidRPr="00F76356">
              <w:rPr>
                <w:sz w:val="26"/>
                <w:szCs w:val="26"/>
              </w:rPr>
              <w:t>609</w:t>
            </w:r>
          </w:p>
        </w:tc>
        <w:tc>
          <w:tcPr>
            <w:tcW w:w="1081" w:type="dxa"/>
          </w:tcPr>
          <w:p w14:paraId="0D75853D" w14:textId="77777777" w:rsidR="007E055C" w:rsidRPr="00F76356" w:rsidRDefault="007E055C" w:rsidP="002D3EED">
            <w:pPr>
              <w:pStyle w:val="TableParagraph"/>
              <w:spacing w:before="60" w:after="60"/>
              <w:ind w:left="0" w:firstLine="0"/>
              <w:rPr>
                <w:sz w:val="26"/>
                <w:szCs w:val="26"/>
              </w:rPr>
            </w:pPr>
            <w:r w:rsidRPr="00F76356">
              <w:rPr>
                <w:sz w:val="26"/>
                <w:szCs w:val="26"/>
              </w:rPr>
              <w:t>25%</w:t>
            </w:r>
          </w:p>
        </w:tc>
        <w:tc>
          <w:tcPr>
            <w:tcW w:w="1092" w:type="dxa"/>
          </w:tcPr>
          <w:p w14:paraId="708530E0" w14:textId="77777777" w:rsidR="007E055C" w:rsidRPr="00F76356" w:rsidRDefault="007E055C" w:rsidP="002D3EED">
            <w:pPr>
              <w:pStyle w:val="TableParagraph"/>
              <w:spacing w:before="60" w:after="60"/>
              <w:ind w:left="0" w:firstLine="0"/>
              <w:rPr>
                <w:sz w:val="26"/>
                <w:szCs w:val="26"/>
              </w:rPr>
            </w:pPr>
            <w:r w:rsidRPr="00F76356">
              <w:rPr>
                <w:sz w:val="26"/>
                <w:szCs w:val="26"/>
              </w:rPr>
              <w:t>1.147</w:t>
            </w:r>
          </w:p>
        </w:tc>
        <w:tc>
          <w:tcPr>
            <w:tcW w:w="1080" w:type="dxa"/>
          </w:tcPr>
          <w:p w14:paraId="40B0F8A9" w14:textId="77777777" w:rsidR="007E055C" w:rsidRPr="00F76356" w:rsidRDefault="007E055C" w:rsidP="002D3EED">
            <w:pPr>
              <w:pStyle w:val="TableParagraph"/>
              <w:spacing w:before="60" w:after="60"/>
              <w:ind w:left="0" w:firstLine="0"/>
              <w:rPr>
                <w:sz w:val="26"/>
                <w:szCs w:val="26"/>
              </w:rPr>
            </w:pPr>
            <w:r w:rsidRPr="00F76356">
              <w:rPr>
                <w:w w:val="95"/>
                <w:sz w:val="26"/>
                <w:szCs w:val="26"/>
              </w:rPr>
              <w:t>32%</w:t>
            </w:r>
          </w:p>
        </w:tc>
      </w:tr>
      <w:tr w:rsidR="002D3EED" w:rsidRPr="00F76356" w14:paraId="69F83D91" w14:textId="77777777" w:rsidTr="002D3EED">
        <w:trPr>
          <w:trHeight w:val="20"/>
        </w:trPr>
        <w:tc>
          <w:tcPr>
            <w:tcW w:w="2021" w:type="dxa"/>
          </w:tcPr>
          <w:p w14:paraId="1DA9D517" w14:textId="77777777" w:rsidR="007E055C" w:rsidRPr="00F76356" w:rsidRDefault="007E055C" w:rsidP="002D3EED">
            <w:pPr>
              <w:pStyle w:val="TableParagraph"/>
              <w:spacing w:before="60" w:after="60"/>
              <w:ind w:left="0" w:firstLine="0"/>
              <w:rPr>
                <w:sz w:val="26"/>
                <w:szCs w:val="26"/>
              </w:rPr>
            </w:pPr>
            <w:r w:rsidRPr="00F76356">
              <w:rPr>
                <w:sz w:val="26"/>
                <w:szCs w:val="26"/>
              </w:rPr>
              <w:t>Tổng</w:t>
            </w:r>
          </w:p>
        </w:tc>
        <w:tc>
          <w:tcPr>
            <w:tcW w:w="1080" w:type="dxa"/>
          </w:tcPr>
          <w:p w14:paraId="17609B5D" w14:textId="77777777" w:rsidR="007E055C" w:rsidRPr="00F76356" w:rsidRDefault="007E055C" w:rsidP="002D3EED">
            <w:pPr>
              <w:pStyle w:val="TableParagraph"/>
              <w:spacing w:before="60" w:after="60"/>
              <w:ind w:left="0" w:firstLine="0"/>
              <w:rPr>
                <w:sz w:val="26"/>
                <w:szCs w:val="26"/>
              </w:rPr>
            </w:pPr>
            <w:r w:rsidRPr="00F76356">
              <w:rPr>
                <w:sz w:val="26"/>
                <w:szCs w:val="26"/>
              </w:rPr>
              <w:t>1.296</w:t>
            </w:r>
          </w:p>
        </w:tc>
        <w:tc>
          <w:tcPr>
            <w:tcW w:w="1080" w:type="dxa"/>
          </w:tcPr>
          <w:p w14:paraId="7035079D" w14:textId="77777777" w:rsidR="007E055C" w:rsidRPr="00F76356" w:rsidRDefault="007E055C" w:rsidP="002D3EED">
            <w:pPr>
              <w:pStyle w:val="TableParagraph"/>
              <w:spacing w:before="60" w:after="60"/>
              <w:ind w:left="0" w:firstLine="0"/>
              <w:rPr>
                <w:sz w:val="26"/>
                <w:szCs w:val="26"/>
              </w:rPr>
            </w:pPr>
            <w:r w:rsidRPr="00F76356">
              <w:rPr>
                <w:sz w:val="26"/>
                <w:szCs w:val="26"/>
              </w:rPr>
              <w:t>100%</w:t>
            </w:r>
          </w:p>
        </w:tc>
        <w:tc>
          <w:tcPr>
            <w:tcW w:w="1080" w:type="dxa"/>
          </w:tcPr>
          <w:p w14:paraId="3D720128" w14:textId="77777777" w:rsidR="007E055C" w:rsidRPr="00F76356" w:rsidRDefault="007E055C" w:rsidP="002D3EED">
            <w:pPr>
              <w:pStyle w:val="TableParagraph"/>
              <w:spacing w:before="60" w:after="60"/>
              <w:ind w:left="0" w:firstLine="0"/>
              <w:rPr>
                <w:sz w:val="26"/>
                <w:szCs w:val="26"/>
              </w:rPr>
            </w:pPr>
            <w:r w:rsidRPr="00F76356">
              <w:rPr>
                <w:sz w:val="26"/>
                <w:szCs w:val="26"/>
              </w:rPr>
              <w:t>2.399</w:t>
            </w:r>
          </w:p>
        </w:tc>
        <w:tc>
          <w:tcPr>
            <w:tcW w:w="1081" w:type="dxa"/>
          </w:tcPr>
          <w:p w14:paraId="59A31D64" w14:textId="77777777" w:rsidR="007E055C" w:rsidRPr="00F76356" w:rsidRDefault="007E055C" w:rsidP="002D3EED">
            <w:pPr>
              <w:pStyle w:val="TableParagraph"/>
              <w:spacing w:before="60" w:after="60"/>
              <w:ind w:left="0" w:firstLine="0"/>
              <w:rPr>
                <w:sz w:val="26"/>
                <w:szCs w:val="26"/>
              </w:rPr>
            </w:pPr>
            <w:r w:rsidRPr="00F76356">
              <w:rPr>
                <w:sz w:val="26"/>
                <w:szCs w:val="26"/>
              </w:rPr>
              <w:t>100%</w:t>
            </w:r>
          </w:p>
        </w:tc>
        <w:tc>
          <w:tcPr>
            <w:tcW w:w="1092" w:type="dxa"/>
          </w:tcPr>
          <w:p w14:paraId="61AB7891" w14:textId="77777777" w:rsidR="007E055C" w:rsidRPr="00F76356" w:rsidRDefault="007E055C" w:rsidP="002D3EED">
            <w:pPr>
              <w:pStyle w:val="TableParagraph"/>
              <w:spacing w:before="60" w:after="60"/>
              <w:ind w:left="0" w:firstLine="0"/>
              <w:rPr>
                <w:sz w:val="26"/>
                <w:szCs w:val="26"/>
              </w:rPr>
            </w:pPr>
            <w:r w:rsidRPr="00F76356">
              <w:rPr>
                <w:sz w:val="26"/>
                <w:szCs w:val="26"/>
              </w:rPr>
              <w:t>3.548</w:t>
            </w:r>
          </w:p>
        </w:tc>
        <w:tc>
          <w:tcPr>
            <w:tcW w:w="1080" w:type="dxa"/>
          </w:tcPr>
          <w:p w14:paraId="0A3D3A74" w14:textId="77777777" w:rsidR="007E055C" w:rsidRPr="00F76356" w:rsidRDefault="007E055C" w:rsidP="002D3EED">
            <w:pPr>
              <w:pStyle w:val="TableParagraph"/>
              <w:spacing w:before="60" w:after="60"/>
              <w:ind w:left="0" w:firstLine="0"/>
              <w:rPr>
                <w:sz w:val="26"/>
                <w:szCs w:val="26"/>
              </w:rPr>
            </w:pPr>
            <w:r w:rsidRPr="00F76356">
              <w:rPr>
                <w:w w:val="95"/>
                <w:sz w:val="26"/>
                <w:szCs w:val="26"/>
              </w:rPr>
              <w:t>100%</w:t>
            </w:r>
          </w:p>
        </w:tc>
      </w:tr>
    </w:tbl>
    <w:p w14:paraId="1A647FE5" w14:textId="77777777" w:rsidR="007E055C" w:rsidRPr="00F76356" w:rsidRDefault="007E055C" w:rsidP="00DA5916">
      <w:pPr>
        <w:pStyle w:val="0NGUON"/>
        <w:rPr>
          <w:rFonts w:cs="Times New Roman"/>
          <w:lang w:val="vi"/>
        </w:rPr>
      </w:pPr>
      <w:r w:rsidRPr="00F76356">
        <w:rPr>
          <w:rFonts w:cs="Times New Roman"/>
          <w:lang w:val="vi"/>
        </w:rPr>
        <w:t>Nguồn: Báo cáo ngành Tài chính thay thế của Anh lần thứ 4.</w:t>
      </w:r>
    </w:p>
    <w:p w14:paraId="24B9778D" w14:textId="168925F6" w:rsidR="007E055C" w:rsidRPr="00FE4250" w:rsidRDefault="007E055C" w:rsidP="00A60CDE">
      <w:pPr>
        <w:pStyle w:val="0NOIDUNG"/>
        <w:rPr>
          <w:rFonts w:cs="Times New Roman"/>
          <w:lang w:val="vi"/>
        </w:rPr>
      </w:pPr>
      <w:r w:rsidRPr="00FE4250">
        <w:rPr>
          <w:rFonts w:cs="Times New Roman"/>
          <w:lang w:val="vi"/>
        </w:rPr>
        <w:t xml:space="preserve">Về cơ cấu, hình thức cho vay ngang hàng tiêu dùng là mô hình chiếm tỷ trọng lớn nhất trong giai đoạn 2015-2016. Năm 2016, cho vay ngang hàng tiêu dùng chiếm hơn 1,23 </w:t>
      </w:r>
      <w:r w:rsidRPr="00FE4250">
        <w:rPr>
          <w:rFonts w:cs="Times New Roman"/>
          <w:spacing w:val="2"/>
          <w:lang w:val="vi"/>
        </w:rPr>
        <w:t xml:space="preserve">tỷ </w:t>
      </w:r>
      <w:r w:rsidRPr="00FE4250">
        <w:rPr>
          <w:rFonts w:cs="Times New Roman"/>
          <w:lang w:val="vi"/>
        </w:rPr>
        <w:t>bảng Anh cho vay và tương</w:t>
      </w:r>
      <w:r w:rsidRPr="00FE4250">
        <w:rPr>
          <w:rFonts w:cs="Times New Roman"/>
          <w:spacing w:val="-14"/>
          <w:lang w:val="vi"/>
        </w:rPr>
        <w:t xml:space="preserve"> </w:t>
      </w:r>
      <w:r w:rsidRPr="00FE4250">
        <w:rPr>
          <w:rFonts w:cs="Times New Roman"/>
          <w:lang w:val="vi"/>
        </w:rPr>
        <w:t>ứng</w:t>
      </w:r>
      <w:r w:rsidRPr="00FE4250">
        <w:rPr>
          <w:rFonts w:cs="Times New Roman"/>
          <w:spacing w:val="-11"/>
          <w:lang w:val="vi"/>
        </w:rPr>
        <w:t xml:space="preserve"> </w:t>
      </w:r>
      <w:r w:rsidRPr="00FE4250">
        <w:rPr>
          <w:rFonts w:cs="Times New Roman"/>
          <w:lang w:val="vi"/>
        </w:rPr>
        <w:t>với</w:t>
      </w:r>
      <w:r w:rsidRPr="00FE4250">
        <w:rPr>
          <w:rFonts w:cs="Times New Roman"/>
          <w:spacing w:val="-12"/>
          <w:lang w:val="vi"/>
        </w:rPr>
        <w:t xml:space="preserve"> </w:t>
      </w:r>
      <w:r w:rsidRPr="00FE4250">
        <w:rPr>
          <w:rFonts w:cs="Times New Roman"/>
          <w:lang w:val="vi"/>
        </w:rPr>
        <w:t>35%</w:t>
      </w:r>
      <w:r w:rsidRPr="00FE4250">
        <w:rPr>
          <w:rFonts w:cs="Times New Roman"/>
          <w:spacing w:val="-11"/>
          <w:lang w:val="vi"/>
        </w:rPr>
        <w:t xml:space="preserve"> </w:t>
      </w:r>
      <w:r w:rsidRPr="00FE4250">
        <w:rPr>
          <w:rFonts w:cs="Times New Roman"/>
          <w:lang w:val="vi"/>
        </w:rPr>
        <w:t>sản</w:t>
      </w:r>
      <w:r w:rsidRPr="00FE4250">
        <w:rPr>
          <w:rFonts w:cs="Times New Roman"/>
          <w:spacing w:val="-11"/>
          <w:lang w:val="vi"/>
        </w:rPr>
        <w:t xml:space="preserve"> </w:t>
      </w:r>
      <w:r w:rsidRPr="00FE4250">
        <w:rPr>
          <w:rFonts w:cs="Times New Roman"/>
          <w:lang w:val="vi"/>
        </w:rPr>
        <w:t>lượng</w:t>
      </w:r>
      <w:r w:rsidRPr="00FE4250">
        <w:rPr>
          <w:rFonts w:cs="Times New Roman"/>
          <w:spacing w:val="-11"/>
          <w:lang w:val="vi"/>
        </w:rPr>
        <w:t xml:space="preserve"> </w:t>
      </w:r>
      <w:r w:rsidRPr="00FE4250">
        <w:rPr>
          <w:rFonts w:cs="Times New Roman"/>
          <w:lang w:val="vi"/>
        </w:rPr>
        <w:t>cho vay ngang hàng,</w:t>
      </w:r>
      <w:r w:rsidRPr="00FE4250">
        <w:rPr>
          <w:rFonts w:cs="Times New Roman"/>
          <w:spacing w:val="-13"/>
          <w:lang w:val="vi"/>
        </w:rPr>
        <w:t xml:space="preserve"> </w:t>
      </w:r>
      <w:r w:rsidRPr="00FE4250">
        <w:rPr>
          <w:rFonts w:cs="Times New Roman"/>
          <w:lang w:val="vi"/>
        </w:rPr>
        <w:t>tiếp</w:t>
      </w:r>
      <w:r w:rsidRPr="00FE4250">
        <w:rPr>
          <w:rFonts w:cs="Times New Roman"/>
          <w:spacing w:val="-13"/>
          <w:lang w:val="vi"/>
        </w:rPr>
        <w:t xml:space="preserve"> </w:t>
      </w:r>
      <w:r w:rsidRPr="00FE4250">
        <w:rPr>
          <w:rFonts w:cs="Times New Roman"/>
          <w:lang w:val="vi"/>
        </w:rPr>
        <w:t>theo</w:t>
      </w:r>
      <w:r w:rsidRPr="00FE4250">
        <w:rPr>
          <w:rFonts w:cs="Times New Roman"/>
          <w:spacing w:val="-13"/>
          <w:lang w:val="vi"/>
        </w:rPr>
        <w:t xml:space="preserve"> </w:t>
      </w:r>
      <w:r w:rsidRPr="00FE4250">
        <w:rPr>
          <w:rFonts w:cs="Times New Roman"/>
          <w:lang w:val="vi"/>
        </w:rPr>
        <w:t>là</w:t>
      </w:r>
      <w:r w:rsidRPr="00FE4250">
        <w:rPr>
          <w:rFonts w:cs="Times New Roman"/>
          <w:spacing w:val="-11"/>
          <w:lang w:val="vi"/>
        </w:rPr>
        <w:t xml:space="preserve"> </w:t>
      </w:r>
      <w:r w:rsidRPr="00FE4250">
        <w:rPr>
          <w:rFonts w:cs="Times New Roman"/>
          <w:lang w:val="vi"/>
        </w:rPr>
        <w:t>cho vay ngang hàng thương mại</w:t>
      </w:r>
      <w:r w:rsidRPr="00FE4250">
        <w:rPr>
          <w:rFonts w:cs="Times New Roman"/>
          <w:spacing w:val="-12"/>
          <w:lang w:val="vi"/>
        </w:rPr>
        <w:t xml:space="preserve"> </w:t>
      </w:r>
      <w:r w:rsidRPr="00FE4250">
        <w:rPr>
          <w:rFonts w:cs="Times New Roman"/>
          <w:lang w:val="vi"/>
        </w:rPr>
        <w:t>với</w:t>
      </w:r>
      <w:r w:rsidRPr="00FE4250">
        <w:rPr>
          <w:rFonts w:cs="Times New Roman"/>
          <w:spacing w:val="-13"/>
          <w:lang w:val="vi"/>
        </w:rPr>
        <w:t xml:space="preserve"> </w:t>
      </w:r>
      <w:r w:rsidRPr="00FE4250">
        <w:rPr>
          <w:rFonts w:cs="Times New Roman"/>
          <w:lang w:val="vi"/>
        </w:rPr>
        <w:t>sản</w:t>
      </w:r>
      <w:r w:rsidRPr="00FE4250">
        <w:rPr>
          <w:rFonts w:cs="Times New Roman"/>
          <w:spacing w:val="-13"/>
          <w:lang w:val="vi"/>
        </w:rPr>
        <w:t xml:space="preserve"> </w:t>
      </w:r>
      <w:r w:rsidRPr="00FE4250">
        <w:rPr>
          <w:rFonts w:cs="Times New Roman"/>
          <w:lang w:val="vi"/>
        </w:rPr>
        <w:t>lượng</w:t>
      </w:r>
      <w:r w:rsidRPr="00FE4250">
        <w:rPr>
          <w:rFonts w:cs="Times New Roman"/>
          <w:spacing w:val="-12"/>
          <w:lang w:val="vi"/>
        </w:rPr>
        <w:t xml:space="preserve"> </w:t>
      </w:r>
      <w:r w:rsidRPr="00FE4250">
        <w:rPr>
          <w:rFonts w:cs="Times New Roman"/>
          <w:lang w:val="vi"/>
        </w:rPr>
        <w:t>1,16</w:t>
      </w:r>
      <w:r w:rsidRPr="00FE4250">
        <w:rPr>
          <w:rFonts w:cs="Times New Roman"/>
          <w:spacing w:val="-11"/>
          <w:lang w:val="vi"/>
        </w:rPr>
        <w:t xml:space="preserve">t </w:t>
      </w:r>
      <w:r w:rsidRPr="00FE4250">
        <w:rPr>
          <w:rFonts w:cs="Times New Roman"/>
          <w:lang w:val="vi"/>
        </w:rPr>
        <w:t>bảng Anh, chiếm 33%, và cuối cùng là cho vay ngang hàng bất động sản.</w:t>
      </w:r>
    </w:p>
    <w:p w14:paraId="7A2C11A5" w14:textId="360A3ACB" w:rsidR="007E055C" w:rsidRPr="00FE4250" w:rsidRDefault="007E055C" w:rsidP="00A60CDE">
      <w:pPr>
        <w:pStyle w:val="0NOIDUNG"/>
        <w:rPr>
          <w:rFonts w:cs="Times New Roman"/>
          <w:lang w:val="vi"/>
        </w:rPr>
      </w:pPr>
      <w:r w:rsidRPr="00FE4250">
        <w:rPr>
          <w:rFonts w:cs="Times New Roman"/>
          <w:lang w:val="vi"/>
        </w:rPr>
        <w:t>Về mức độ tăng tr</w:t>
      </w:r>
      <w:r w:rsidRPr="00F76356">
        <w:rPr>
          <w:rFonts w:cs="Times New Roman"/>
          <w:lang w:val="vi-VN"/>
        </w:rPr>
        <w:t>ư</w:t>
      </w:r>
      <w:r w:rsidRPr="00FE4250">
        <w:rPr>
          <w:rFonts w:cs="Times New Roman"/>
          <w:lang w:val="vi"/>
        </w:rPr>
        <w:t>ởng,</w:t>
      </w:r>
      <w:r w:rsidRPr="00F76356">
        <w:rPr>
          <w:rFonts w:cs="Times New Roman"/>
          <w:lang w:val="vi-VN"/>
        </w:rPr>
        <w:t xml:space="preserve"> cho vay ngang hàng bất động sản</w:t>
      </w:r>
      <w:r w:rsidRPr="00FE4250">
        <w:rPr>
          <w:rFonts w:cs="Times New Roman"/>
          <w:lang w:val="vi"/>
        </w:rPr>
        <w:t xml:space="preserve"> có mức độ tăng</w:t>
      </w:r>
      <w:r w:rsidR="00A60CDE" w:rsidRPr="00FE4250">
        <w:rPr>
          <w:rFonts w:cs="Times New Roman"/>
          <w:lang w:val="vi"/>
        </w:rPr>
        <w:t xml:space="preserve"> </w:t>
      </w:r>
      <w:r w:rsidRPr="00FE4250">
        <w:rPr>
          <w:rFonts w:cs="Times New Roman"/>
          <w:lang w:val="vi"/>
        </w:rPr>
        <w:t>tr</w:t>
      </w:r>
      <w:r w:rsidRPr="00F76356">
        <w:rPr>
          <w:rFonts w:cs="Times New Roman"/>
          <w:lang w:val="vi-VN"/>
        </w:rPr>
        <w:t>ư</w:t>
      </w:r>
      <w:r w:rsidRPr="00FE4250">
        <w:rPr>
          <w:rFonts w:cs="Times New Roman"/>
          <w:lang w:val="vi"/>
        </w:rPr>
        <w:t>ởng nhanh</w:t>
      </w:r>
      <w:r w:rsidR="00A60CDE" w:rsidRPr="00FE4250">
        <w:rPr>
          <w:rFonts w:cs="Times New Roman"/>
          <w:lang w:val="vi"/>
        </w:rPr>
        <w:t xml:space="preserve"> </w:t>
      </w:r>
      <w:r w:rsidRPr="00FE4250">
        <w:rPr>
          <w:rFonts w:cs="Times New Roman"/>
          <w:lang w:val="vi"/>
        </w:rPr>
        <w:t>nhấ</w:t>
      </w:r>
      <w:r w:rsidR="00A60CDE" w:rsidRPr="00FE4250">
        <w:rPr>
          <w:rFonts w:cs="Times New Roman"/>
          <w:lang w:val="vi"/>
        </w:rPr>
        <w:t xml:space="preserve">t, với </w:t>
      </w:r>
      <w:r w:rsidRPr="00FE4250">
        <w:rPr>
          <w:rFonts w:cs="Times New Roman"/>
          <w:lang w:val="vi"/>
        </w:rPr>
        <w:t xml:space="preserve">tỷ lệ 88%, trong khi </w:t>
      </w:r>
      <w:r w:rsidRPr="00F76356">
        <w:rPr>
          <w:rFonts w:cs="Times New Roman"/>
          <w:lang w:val="vi-VN"/>
        </w:rPr>
        <w:t>cho vay ngang hàng tiêu dùng</w:t>
      </w:r>
      <w:r w:rsidRPr="00FE4250">
        <w:rPr>
          <w:rFonts w:cs="Times New Roman"/>
          <w:lang w:val="vi"/>
        </w:rPr>
        <w:t xml:space="preserve"> tăng 47% và </w:t>
      </w:r>
      <w:r w:rsidRPr="00F76356">
        <w:rPr>
          <w:rFonts w:cs="Times New Roman"/>
          <w:lang w:val="vi-VN"/>
        </w:rPr>
        <w:t>cho vay kinh doanh</w:t>
      </w:r>
      <w:r w:rsidRPr="00FE4250">
        <w:rPr>
          <w:rFonts w:cs="Times New Roman"/>
          <w:lang w:val="vi"/>
        </w:rPr>
        <w:t xml:space="preserve"> 36% trong giai đoạn 2015- 2016.</w:t>
      </w:r>
    </w:p>
    <w:p w14:paraId="07ADD457" w14:textId="77777777" w:rsidR="007E055C" w:rsidRPr="00FE4250" w:rsidRDefault="007E055C" w:rsidP="00A60CDE">
      <w:pPr>
        <w:pStyle w:val="0NOIDUNG"/>
        <w:rPr>
          <w:rFonts w:cs="Times New Roman"/>
          <w:lang w:val="vi"/>
        </w:rPr>
      </w:pPr>
      <w:r w:rsidRPr="00FE4250">
        <w:rPr>
          <w:rFonts w:cs="Times New Roman"/>
          <w:lang w:val="vi"/>
        </w:rPr>
        <w:t xml:space="preserve">Năm 2016, nguồn vốn cho vay ngân hàng thương mại được đầu tư vào năm lĩnh vực chính đó </w:t>
      </w:r>
      <w:r w:rsidRPr="00FE4250">
        <w:rPr>
          <w:rFonts w:cs="Times New Roman"/>
          <w:spacing w:val="-30"/>
          <w:lang w:val="vi"/>
        </w:rPr>
        <w:t xml:space="preserve">là : </w:t>
      </w:r>
      <w:r w:rsidRPr="00FE4250">
        <w:rPr>
          <w:rFonts w:cs="Times New Roman"/>
          <w:lang w:val="vi"/>
        </w:rPr>
        <w:t xml:space="preserve">Tài chính, Bất động sản và Nhà ở; Xây dựng; Giải trí và khách sạn; Tài chính và Sản xuất công nghiệp. Tuy nhiên, không có số liệu cụ thể về tổng mức đầu tư </w:t>
      </w:r>
      <w:r w:rsidRPr="00FE4250">
        <w:rPr>
          <w:rFonts w:cs="Times New Roman"/>
          <w:spacing w:val="-14"/>
          <w:lang w:val="vi"/>
        </w:rPr>
        <w:t>của cho vay ngang hàng thương mại</w:t>
      </w:r>
      <w:r w:rsidRPr="00FE4250">
        <w:rPr>
          <w:rFonts w:cs="Times New Roman"/>
          <w:lang w:val="vi"/>
        </w:rPr>
        <w:t xml:space="preserve"> vào từng lĩnh vực</w:t>
      </w:r>
      <w:r w:rsidRPr="00FE4250">
        <w:rPr>
          <w:rFonts w:cs="Times New Roman"/>
          <w:spacing w:val="-2"/>
          <w:lang w:val="vi"/>
        </w:rPr>
        <w:t xml:space="preserve"> </w:t>
      </w:r>
      <w:r w:rsidRPr="00FE4250">
        <w:rPr>
          <w:rFonts w:cs="Times New Roman"/>
          <w:lang w:val="vi"/>
        </w:rPr>
        <w:t>này.</w:t>
      </w:r>
    </w:p>
    <w:p w14:paraId="32B7C893" w14:textId="77777777" w:rsidR="007E055C" w:rsidRPr="00FE4250" w:rsidRDefault="007E055C" w:rsidP="00DA5916">
      <w:pPr>
        <w:pStyle w:val="0LV3"/>
        <w:rPr>
          <w:rFonts w:cs="Times New Roman"/>
          <w:lang w:val="vi"/>
        </w:rPr>
      </w:pPr>
      <w:bookmarkStart w:id="11" w:name="_Toc134387167"/>
      <w:bookmarkStart w:id="12" w:name="_TOC_250033"/>
      <w:r w:rsidRPr="00FE4250">
        <w:rPr>
          <w:rFonts w:cs="Times New Roman"/>
          <w:lang w:val="vi"/>
        </w:rPr>
        <w:lastRenderedPageBreak/>
        <w:t>2.1.2. Mỹ</w:t>
      </w:r>
      <w:bookmarkEnd w:id="11"/>
    </w:p>
    <w:p w14:paraId="4F96875E" w14:textId="77777777" w:rsidR="007E055C" w:rsidRPr="00FE4250" w:rsidRDefault="007E055C" w:rsidP="00DA5916">
      <w:pPr>
        <w:pStyle w:val="0LV4"/>
        <w:rPr>
          <w:rFonts w:cs="Times New Roman"/>
          <w:lang w:val="vi"/>
        </w:rPr>
      </w:pPr>
      <w:r w:rsidRPr="00FE4250">
        <w:rPr>
          <w:rFonts w:cs="Times New Roman"/>
          <w:lang w:val="vi"/>
        </w:rPr>
        <w:t>2.1.2.1. Quy mô và cơ cấu tại Mỹ</w:t>
      </w:r>
    </w:p>
    <w:bookmarkEnd w:id="12"/>
    <w:p w14:paraId="4CBABD49" w14:textId="77777777" w:rsidR="007E055C" w:rsidRPr="00FE4250" w:rsidRDefault="007E055C" w:rsidP="00DA5916">
      <w:pPr>
        <w:pStyle w:val="0NOIDUNG"/>
        <w:rPr>
          <w:rFonts w:cs="Times New Roman"/>
          <w:lang w:val="vi"/>
        </w:rPr>
      </w:pPr>
      <w:r w:rsidRPr="00FE4250">
        <w:rPr>
          <w:rFonts w:cs="Times New Roman"/>
          <w:lang w:val="vi"/>
        </w:rPr>
        <w:t xml:space="preserve">Về quy mô: </w:t>
      </w:r>
      <w:r w:rsidRPr="00FE4250">
        <w:rPr>
          <w:rFonts w:cs="Times New Roman"/>
          <w:spacing w:val="2"/>
          <w:lang w:val="vi"/>
        </w:rPr>
        <w:t xml:space="preserve">Quy </w:t>
      </w:r>
      <w:r w:rsidRPr="00FE4250">
        <w:rPr>
          <w:rFonts w:cs="Times New Roman"/>
          <w:lang w:val="vi"/>
        </w:rPr>
        <w:t xml:space="preserve">mô của hoạt động cho vay ngang hàng tại </w:t>
      </w:r>
      <w:r w:rsidRPr="00FE4250">
        <w:rPr>
          <w:rFonts w:cs="Times New Roman"/>
          <w:spacing w:val="2"/>
          <w:lang w:val="vi"/>
        </w:rPr>
        <w:t xml:space="preserve">Mỹ </w:t>
      </w:r>
      <w:r w:rsidRPr="00FE4250">
        <w:rPr>
          <w:rFonts w:cs="Times New Roman"/>
          <w:lang w:val="vi"/>
        </w:rPr>
        <w:t>có xu hướng tăng trong</w:t>
      </w:r>
      <w:r w:rsidRPr="00FE4250">
        <w:rPr>
          <w:rFonts w:cs="Times New Roman"/>
          <w:spacing w:val="-41"/>
          <w:lang w:val="vi"/>
        </w:rPr>
        <w:t xml:space="preserve"> </w:t>
      </w:r>
      <w:r w:rsidRPr="00FE4250">
        <w:rPr>
          <w:rFonts w:cs="Times New Roman"/>
          <w:spacing w:val="-12"/>
          <w:lang w:val="vi"/>
        </w:rPr>
        <w:t xml:space="preserve">giai </w:t>
      </w:r>
      <w:r w:rsidRPr="00FE4250">
        <w:rPr>
          <w:rFonts w:cs="Times New Roman"/>
          <w:lang w:val="vi"/>
        </w:rPr>
        <w:t xml:space="preserve">đoạn 2015-2016. Năm 2016, tổng sản lượng cho vay ngang hàng tại </w:t>
      </w:r>
      <w:r w:rsidRPr="00FE4250">
        <w:rPr>
          <w:rFonts w:cs="Times New Roman"/>
          <w:spacing w:val="2"/>
          <w:lang w:val="vi"/>
        </w:rPr>
        <w:t xml:space="preserve">Mỹ </w:t>
      </w:r>
      <w:r w:rsidRPr="00FE4250">
        <w:rPr>
          <w:rFonts w:cs="Times New Roman"/>
          <w:lang w:val="vi"/>
        </w:rPr>
        <w:t xml:space="preserve">đạt 23,4 tỷ đô Mỹ, </w:t>
      </w:r>
      <w:r w:rsidRPr="00FE4250">
        <w:rPr>
          <w:rFonts w:cs="Times New Roman"/>
          <w:spacing w:val="-12"/>
          <w:lang w:val="vi"/>
        </w:rPr>
        <w:t xml:space="preserve">tăng </w:t>
      </w:r>
      <w:r w:rsidRPr="00FE4250">
        <w:rPr>
          <w:rFonts w:cs="Times New Roman"/>
          <w:lang w:val="vi"/>
        </w:rPr>
        <w:t xml:space="preserve">lên 9% so với năm 2015 (32,4 tỷ đô Mỹ). Tuy nhiên, tốc độ tăng trưởng của </w:t>
      </w:r>
      <w:r w:rsidRPr="00FE4250">
        <w:rPr>
          <w:rFonts w:cs="Times New Roman"/>
          <w:spacing w:val="-14"/>
          <w:lang w:val="vi"/>
        </w:rPr>
        <w:t xml:space="preserve">tổng </w:t>
      </w:r>
      <w:r w:rsidRPr="00FE4250">
        <w:rPr>
          <w:rFonts w:cs="Times New Roman"/>
          <w:lang w:val="vi"/>
        </w:rPr>
        <w:t xml:space="preserve">sản lượng ngành giai đoạn 2015-2016 (9%) lại giảm sút đến gần 15 lần so với </w:t>
      </w:r>
      <w:r w:rsidRPr="00FE4250">
        <w:rPr>
          <w:rFonts w:cs="Times New Roman"/>
          <w:spacing w:val="-12"/>
          <w:lang w:val="vi"/>
        </w:rPr>
        <w:t xml:space="preserve">giai </w:t>
      </w:r>
      <w:r w:rsidRPr="00FE4250">
        <w:rPr>
          <w:rFonts w:cs="Times New Roman"/>
          <w:lang w:val="vi"/>
        </w:rPr>
        <w:t>đoạn 2014-2015</w:t>
      </w:r>
      <w:r w:rsidRPr="00FE4250">
        <w:rPr>
          <w:rFonts w:cs="Times New Roman"/>
          <w:spacing w:val="-3"/>
          <w:lang w:val="vi"/>
        </w:rPr>
        <w:t xml:space="preserve"> </w:t>
      </w:r>
      <w:r w:rsidRPr="00FE4250">
        <w:rPr>
          <w:rFonts w:cs="Times New Roman"/>
          <w:lang w:val="vi"/>
        </w:rPr>
        <w:t>(145%).</w:t>
      </w:r>
    </w:p>
    <w:p w14:paraId="1C7D4418" w14:textId="718DABFD" w:rsidR="007E055C" w:rsidRPr="00FE4250" w:rsidRDefault="007E055C" w:rsidP="00DA5916">
      <w:pPr>
        <w:pStyle w:val="0BANG"/>
        <w:rPr>
          <w:rFonts w:cs="Times New Roman"/>
          <w:lang w:val="vi"/>
        </w:rPr>
      </w:pPr>
      <w:bookmarkStart w:id="13" w:name="_Toc134387192"/>
      <w:r w:rsidRPr="00FE4250">
        <w:rPr>
          <w:rFonts w:cs="Times New Roman"/>
          <w:lang w:val="vi"/>
        </w:rPr>
        <w:t>Bảng 2.</w:t>
      </w:r>
      <w:r w:rsidR="009949DA" w:rsidRPr="00FE4250">
        <w:rPr>
          <w:rFonts w:cs="Times New Roman"/>
          <w:lang w:val="vi"/>
        </w:rPr>
        <w:t>2</w:t>
      </w:r>
      <w:r w:rsidRPr="00FE4250">
        <w:rPr>
          <w:rFonts w:cs="Times New Roman"/>
          <w:lang w:val="vi"/>
        </w:rPr>
        <w:t>: Quy mô và tỷ trọng ngành CVNH tại Mỹ năm 2016.</w:t>
      </w:r>
      <w:bookmarkEnd w:id="13"/>
    </w:p>
    <w:p w14:paraId="0CAA02BF" w14:textId="77777777" w:rsidR="007E055C" w:rsidRPr="00F76356" w:rsidRDefault="007E055C" w:rsidP="00A60CDE">
      <w:pPr>
        <w:pStyle w:val="0NGUON"/>
        <w:rPr>
          <w:rFonts w:cs="Times New Roman"/>
        </w:rPr>
      </w:pPr>
      <w:r w:rsidRPr="00F76356">
        <w:rPr>
          <w:rFonts w:cs="Times New Roman"/>
        </w:rPr>
        <w:t>Đơn vị tính: Tỷ USD</w:t>
      </w:r>
    </w:p>
    <w:tbl>
      <w:tblPr>
        <w:tblW w:w="8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190"/>
        <w:gridCol w:w="1102"/>
        <w:gridCol w:w="1109"/>
        <w:gridCol w:w="967"/>
        <w:gridCol w:w="1172"/>
        <w:gridCol w:w="852"/>
      </w:tblGrid>
      <w:tr w:rsidR="002D3EED" w:rsidRPr="00F76356" w14:paraId="569D8295" w14:textId="77777777" w:rsidTr="00A60CDE">
        <w:trPr>
          <w:trHeight w:val="20"/>
        </w:trPr>
        <w:tc>
          <w:tcPr>
            <w:tcW w:w="2268" w:type="dxa"/>
            <w:vMerge w:val="restart"/>
            <w:vAlign w:val="center"/>
          </w:tcPr>
          <w:p w14:paraId="0E1BAE6B"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Mô hình CVNH</w:t>
            </w:r>
          </w:p>
        </w:tc>
        <w:tc>
          <w:tcPr>
            <w:tcW w:w="2292" w:type="dxa"/>
            <w:gridSpan w:val="2"/>
            <w:vAlign w:val="center"/>
          </w:tcPr>
          <w:p w14:paraId="56FEF38B"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2014</w:t>
            </w:r>
          </w:p>
        </w:tc>
        <w:tc>
          <w:tcPr>
            <w:tcW w:w="2076" w:type="dxa"/>
            <w:gridSpan w:val="2"/>
            <w:vAlign w:val="center"/>
          </w:tcPr>
          <w:p w14:paraId="0DD20FF0"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2015</w:t>
            </w:r>
          </w:p>
        </w:tc>
        <w:tc>
          <w:tcPr>
            <w:tcW w:w="2024" w:type="dxa"/>
            <w:gridSpan w:val="2"/>
            <w:vAlign w:val="center"/>
          </w:tcPr>
          <w:p w14:paraId="4EBA2801"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2016</w:t>
            </w:r>
          </w:p>
        </w:tc>
      </w:tr>
      <w:tr w:rsidR="002D3EED" w:rsidRPr="00F76356" w14:paraId="3222060F" w14:textId="77777777" w:rsidTr="00A60CDE">
        <w:trPr>
          <w:trHeight w:val="20"/>
        </w:trPr>
        <w:tc>
          <w:tcPr>
            <w:tcW w:w="2268" w:type="dxa"/>
            <w:vMerge/>
            <w:tcBorders>
              <w:top w:val="nil"/>
            </w:tcBorders>
            <w:vAlign w:val="center"/>
          </w:tcPr>
          <w:p w14:paraId="73A76E42" w14:textId="77777777" w:rsidR="007E055C" w:rsidRPr="00F76356" w:rsidRDefault="007E055C" w:rsidP="00A60CDE">
            <w:pPr>
              <w:spacing w:before="60" w:after="60" w:line="240" w:lineRule="auto"/>
              <w:ind w:left="0" w:firstLine="0"/>
              <w:jc w:val="center"/>
              <w:rPr>
                <w:rFonts w:ascii="Times New Roman" w:hAnsi="Times New Roman" w:cs="Times New Roman"/>
                <w:b/>
                <w:sz w:val="26"/>
                <w:szCs w:val="26"/>
              </w:rPr>
            </w:pPr>
          </w:p>
        </w:tc>
        <w:tc>
          <w:tcPr>
            <w:tcW w:w="1190" w:type="dxa"/>
            <w:vAlign w:val="center"/>
          </w:tcPr>
          <w:p w14:paraId="552A058F"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Quy mô</w:t>
            </w:r>
          </w:p>
        </w:tc>
        <w:tc>
          <w:tcPr>
            <w:tcW w:w="1102" w:type="dxa"/>
            <w:vAlign w:val="center"/>
          </w:tcPr>
          <w:p w14:paraId="4824144B"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Tỷ</w:t>
            </w:r>
          </w:p>
          <w:p w14:paraId="2B2B56D1"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trọng</w:t>
            </w:r>
          </w:p>
        </w:tc>
        <w:tc>
          <w:tcPr>
            <w:tcW w:w="1109" w:type="dxa"/>
            <w:vAlign w:val="center"/>
          </w:tcPr>
          <w:p w14:paraId="12DABB62"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Quy mô</w:t>
            </w:r>
          </w:p>
        </w:tc>
        <w:tc>
          <w:tcPr>
            <w:tcW w:w="967" w:type="dxa"/>
            <w:vAlign w:val="center"/>
          </w:tcPr>
          <w:p w14:paraId="6C535778"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Tỷ</w:t>
            </w:r>
          </w:p>
          <w:p w14:paraId="544F91A0"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trọng</w:t>
            </w:r>
          </w:p>
        </w:tc>
        <w:tc>
          <w:tcPr>
            <w:tcW w:w="1172" w:type="dxa"/>
            <w:vAlign w:val="center"/>
          </w:tcPr>
          <w:p w14:paraId="0FE5C456"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Quy mô</w:t>
            </w:r>
          </w:p>
        </w:tc>
        <w:tc>
          <w:tcPr>
            <w:tcW w:w="852" w:type="dxa"/>
            <w:vAlign w:val="center"/>
          </w:tcPr>
          <w:p w14:paraId="7CA9C35F"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Tỷ</w:t>
            </w:r>
          </w:p>
          <w:p w14:paraId="17B91331" w14:textId="77777777" w:rsidR="007E055C" w:rsidRPr="00F76356" w:rsidRDefault="007E055C" w:rsidP="00A60CDE">
            <w:pPr>
              <w:pStyle w:val="TableParagraph"/>
              <w:spacing w:before="60" w:after="60"/>
              <w:ind w:left="0" w:firstLine="0"/>
              <w:jc w:val="center"/>
              <w:rPr>
                <w:b/>
                <w:sz w:val="26"/>
                <w:szCs w:val="26"/>
              </w:rPr>
            </w:pPr>
            <w:r w:rsidRPr="00F76356">
              <w:rPr>
                <w:b/>
                <w:sz w:val="26"/>
                <w:szCs w:val="26"/>
              </w:rPr>
              <w:t>trọng</w:t>
            </w:r>
          </w:p>
        </w:tc>
      </w:tr>
      <w:tr w:rsidR="002D3EED" w:rsidRPr="00F76356" w14:paraId="0D4C05B5" w14:textId="77777777" w:rsidTr="00A60CDE">
        <w:trPr>
          <w:trHeight w:val="20"/>
        </w:trPr>
        <w:tc>
          <w:tcPr>
            <w:tcW w:w="2268" w:type="dxa"/>
          </w:tcPr>
          <w:p w14:paraId="5E4F3D52" w14:textId="77777777" w:rsidR="007E055C" w:rsidRPr="00F76356" w:rsidRDefault="007E055C" w:rsidP="00A60CDE">
            <w:pPr>
              <w:pStyle w:val="TableParagraph"/>
              <w:spacing w:before="60" w:after="60"/>
              <w:ind w:left="0" w:firstLine="0"/>
              <w:rPr>
                <w:sz w:val="26"/>
                <w:szCs w:val="26"/>
              </w:rPr>
            </w:pPr>
            <w:r w:rsidRPr="00F76356">
              <w:rPr>
                <w:sz w:val="26"/>
                <w:szCs w:val="26"/>
              </w:rPr>
              <w:t>Tiêu dùng</w:t>
            </w:r>
          </w:p>
        </w:tc>
        <w:tc>
          <w:tcPr>
            <w:tcW w:w="1190" w:type="dxa"/>
            <w:vAlign w:val="center"/>
          </w:tcPr>
          <w:p w14:paraId="20F064C2"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7.6</w:t>
            </w:r>
          </w:p>
        </w:tc>
        <w:tc>
          <w:tcPr>
            <w:tcW w:w="1102" w:type="dxa"/>
            <w:vAlign w:val="center"/>
          </w:tcPr>
          <w:p w14:paraId="41562484" w14:textId="77777777" w:rsidR="007E055C" w:rsidRPr="00F76356" w:rsidRDefault="007E055C" w:rsidP="00A60CDE">
            <w:pPr>
              <w:pStyle w:val="TableParagraph"/>
              <w:spacing w:before="60" w:after="60"/>
              <w:ind w:left="0" w:firstLine="0"/>
              <w:jc w:val="center"/>
              <w:rPr>
                <w:sz w:val="26"/>
                <w:szCs w:val="26"/>
              </w:rPr>
            </w:pPr>
            <w:r w:rsidRPr="00F76356">
              <w:rPr>
                <w:w w:val="95"/>
                <w:sz w:val="26"/>
                <w:szCs w:val="26"/>
              </w:rPr>
              <w:t>87%</w:t>
            </w:r>
          </w:p>
        </w:tc>
        <w:tc>
          <w:tcPr>
            <w:tcW w:w="1109" w:type="dxa"/>
            <w:vAlign w:val="center"/>
          </w:tcPr>
          <w:p w14:paraId="20C3C514"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18</w:t>
            </w:r>
          </w:p>
        </w:tc>
        <w:tc>
          <w:tcPr>
            <w:tcW w:w="967" w:type="dxa"/>
            <w:vAlign w:val="center"/>
          </w:tcPr>
          <w:p w14:paraId="116C640A"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84%</w:t>
            </w:r>
          </w:p>
        </w:tc>
        <w:tc>
          <w:tcPr>
            <w:tcW w:w="1172" w:type="dxa"/>
            <w:vAlign w:val="center"/>
          </w:tcPr>
          <w:p w14:paraId="064689F6"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21.1</w:t>
            </w:r>
          </w:p>
        </w:tc>
        <w:tc>
          <w:tcPr>
            <w:tcW w:w="852" w:type="dxa"/>
            <w:vAlign w:val="center"/>
          </w:tcPr>
          <w:p w14:paraId="5B2749EE"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90%</w:t>
            </w:r>
          </w:p>
        </w:tc>
      </w:tr>
      <w:tr w:rsidR="002D3EED" w:rsidRPr="00F76356" w14:paraId="700F7F8D" w14:textId="77777777" w:rsidTr="00A60CDE">
        <w:trPr>
          <w:trHeight w:val="20"/>
        </w:trPr>
        <w:tc>
          <w:tcPr>
            <w:tcW w:w="2268" w:type="dxa"/>
          </w:tcPr>
          <w:p w14:paraId="3883A6DA" w14:textId="77777777" w:rsidR="007E055C" w:rsidRPr="00F76356" w:rsidRDefault="007E055C" w:rsidP="00A60CDE">
            <w:pPr>
              <w:pStyle w:val="TableParagraph"/>
              <w:spacing w:before="60" w:after="60"/>
              <w:ind w:left="0" w:firstLine="0"/>
              <w:rPr>
                <w:sz w:val="26"/>
                <w:szCs w:val="26"/>
              </w:rPr>
            </w:pPr>
            <w:r w:rsidRPr="00F76356">
              <w:rPr>
                <w:sz w:val="26"/>
                <w:szCs w:val="26"/>
              </w:rPr>
              <w:t>Th</w:t>
            </w:r>
            <w:r w:rsidRPr="00F76356">
              <w:rPr>
                <w:sz w:val="26"/>
                <w:szCs w:val="26"/>
                <w:lang w:val="en-US"/>
              </w:rPr>
              <w:t>ư</w:t>
            </w:r>
            <w:r w:rsidRPr="00F76356">
              <w:rPr>
                <w:sz w:val="26"/>
                <w:szCs w:val="26"/>
              </w:rPr>
              <w:t>ơng mại</w:t>
            </w:r>
          </w:p>
        </w:tc>
        <w:tc>
          <w:tcPr>
            <w:tcW w:w="1190" w:type="dxa"/>
            <w:vAlign w:val="center"/>
          </w:tcPr>
          <w:p w14:paraId="2DA4D895"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0.9756</w:t>
            </w:r>
          </w:p>
        </w:tc>
        <w:tc>
          <w:tcPr>
            <w:tcW w:w="1102" w:type="dxa"/>
            <w:vAlign w:val="center"/>
          </w:tcPr>
          <w:p w14:paraId="2815885F" w14:textId="77777777" w:rsidR="007E055C" w:rsidRPr="00F76356" w:rsidRDefault="007E055C" w:rsidP="00A60CDE">
            <w:pPr>
              <w:pStyle w:val="TableParagraph"/>
              <w:spacing w:before="60" w:after="60"/>
              <w:ind w:left="0" w:firstLine="0"/>
              <w:jc w:val="center"/>
              <w:rPr>
                <w:sz w:val="26"/>
                <w:szCs w:val="26"/>
              </w:rPr>
            </w:pPr>
            <w:r w:rsidRPr="00F76356">
              <w:rPr>
                <w:w w:val="95"/>
                <w:sz w:val="26"/>
                <w:szCs w:val="26"/>
              </w:rPr>
              <w:t>11%</w:t>
            </w:r>
          </w:p>
        </w:tc>
        <w:tc>
          <w:tcPr>
            <w:tcW w:w="1109" w:type="dxa"/>
            <w:vAlign w:val="center"/>
          </w:tcPr>
          <w:p w14:paraId="5D1D7FD9"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2.6</w:t>
            </w:r>
          </w:p>
        </w:tc>
        <w:tc>
          <w:tcPr>
            <w:tcW w:w="967" w:type="dxa"/>
            <w:vAlign w:val="center"/>
          </w:tcPr>
          <w:p w14:paraId="4FBE91C8"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12%</w:t>
            </w:r>
          </w:p>
        </w:tc>
        <w:tc>
          <w:tcPr>
            <w:tcW w:w="1172" w:type="dxa"/>
            <w:vAlign w:val="center"/>
          </w:tcPr>
          <w:p w14:paraId="5CEB795A"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1.3</w:t>
            </w:r>
          </w:p>
        </w:tc>
        <w:tc>
          <w:tcPr>
            <w:tcW w:w="852" w:type="dxa"/>
            <w:vAlign w:val="center"/>
          </w:tcPr>
          <w:p w14:paraId="509B476A"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6%</w:t>
            </w:r>
          </w:p>
        </w:tc>
      </w:tr>
      <w:tr w:rsidR="002D3EED" w:rsidRPr="00F76356" w14:paraId="675F20BB" w14:textId="77777777" w:rsidTr="00A60CDE">
        <w:trPr>
          <w:trHeight w:val="20"/>
        </w:trPr>
        <w:tc>
          <w:tcPr>
            <w:tcW w:w="2268" w:type="dxa"/>
          </w:tcPr>
          <w:p w14:paraId="1D9D4075" w14:textId="77777777" w:rsidR="007E055C" w:rsidRPr="00F76356" w:rsidRDefault="007E055C" w:rsidP="00A60CDE">
            <w:pPr>
              <w:pStyle w:val="TableParagraph"/>
              <w:spacing w:before="60" w:after="60"/>
              <w:ind w:left="0" w:firstLine="0"/>
              <w:rPr>
                <w:sz w:val="26"/>
                <w:szCs w:val="26"/>
              </w:rPr>
            </w:pPr>
            <w:r w:rsidRPr="00F76356">
              <w:rPr>
                <w:sz w:val="26"/>
                <w:szCs w:val="26"/>
              </w:rPr>
              <w:t>Bất động sản</w:t>
            </w:r>
          </w:p>
        </w:tc>
        <w:tc>
          <w:tcPr>
            <w:tcW w:w="1190" w:type="dxa"/>
            <w:vAlign w:val="center"/>
          </w:tcPr>
          <w:p w14:paraId="34BE8246"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0.1348</w:t>
            </w:r>
          </w:p>
        </w:tc>
        <w:tc>
          <w:tcPr>
            <w:tcW w:w="1102" w:type="dxa"/>
            <w:vAlign w:val="center"/>
          </w:tcPr>
          <w:p w14:paraId="0B9892FF"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2%</w:t>
            </w:r>
          </w:p>
        </w:tc>
        <w:tc>
          <w:tcPr>
            <w:tcW w:w="1109" w:type="dxa"/>
            <w:vAlign w:val="center"/>
          </w:tcPr>
          <w:p w14:paraId="774BF2C3"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0.782</w:t>
            </w:r>
          </w:p>
        </w:tc>
        <w:tc>
          <w:tcPr>
            <w:tcW w:w="967" w:type="dxa"/>
            <w:vAlign w:val="center"/>
          </w:tcPr>
          <w:p w14:paraId="37AD1089"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4%</w:t>
            </w:r>
          </w:p>
        </w:tc>
        <w:tc>
          <w:tcPr>
            <w:tcW w:w="1172" w:type="dxa"/>
            <w:vAlign w:val="center"/>
          </w:tcPr>
          <w:p w14:paraId="05602E9E" w14:textId="77777777" w:rsidR="007E055C" w:rsidRPr="00F76356" w:rsidRDefault="007E055C" w:rsidP="00A60CDE">
            <w:pPr>
              <w:pStyle w:val="TableParagraph"/>
              <w:spacing w:before="60" w:after="60"/>
              <w:ind w:left="0" w:firstLine="0"/>
              <w:jc w:val="center"/>
              <w:rPr>
                <w:sz w:val="26"/>
                <w:szCs w:val="26"/>
              </w:rPr>
            </w:pPr>
            <w:r w:rsidRPr="00F76356">
              <w:rPr>
                <w:w w:val="99"/>
                <w:sz w:val="26"/>
                <w:szCs w:val="26"/>
              </w:rPr>
              <w:t>1</w:t>
            </w:r>
          </w:p>
        </w:tc>
        <w:tc>
          <w:tcPr>
            <w:tcW w:w="852" w:type="dxa"/>
            <w:vAlign w:val="center"/>
          </w:tcPr>
          <w:p w14:paraId="55E90484"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4%</w:t>
            </w:r>
          </w:p>
        </w:tc>
      </w:tr>
      <w:tr w:rsidR="002D3EED" w:rsidRPr="00F76356" w14:paraId="3C151FC7" w14:textId="77777777" w:rsidTr="00A60CDE">
        <w:trPr>
          <w:trHeight w:val="20"/>
        </w:trPr>
        <w:tc>
          <w:tcPr>
            <w:tcW w:w="2268" w:type="dxa"/>
          </w:tcPr>
          <w:p w14:paraId="47778B89" w14:textId="77777777" w:rsidR="007E055C" w:rsidRPr="00F76356" w:rsidRDefault="007E055C" w:rsidP="00A60CDE">
            <w:pPr>
              <w:pStyle w:val="TableParagraph"/>
              <w:spacing w:before="60" w:after="60"/>
              <w:ind w:left="0" w:firstLine="0"/>
              <w:rPr>
                <w:sz w:val="26"/>
                <w:szCs w:val="26"/>
              </w:rPr>
            </w:pPr>
            <w:r w:rsidRPr="00F76356">
              <w:rPr>
                <w:sz w:val="26"/>
                <w:szCs w:val="26"/>
              </w:rPr>
              <w:t>Tổng</w:t>
            </w:r>
          </w:p>
        </w:tc>
        <w:tc>
          <w:tcPr>
            <w:tcW w:w="1190" w:type="dxa"/>
            <w:vAlign w:val="center"/>
          </w:tcPr>
          <w:p w14:paraId="5030EC4C"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8.7104</w:t>
            </w:r>
          </w:p>
        </w:tc>
        <w:tc>
          <w:tcPr>
            <w:tcW w:w="1102" w:type="dxa"/>
            <w:vAlign w:val="center"/>
          </w:tcPr>
          <w:p w14:paraId="7FE5FE2A" w14:textId="77777777" w:rsidR="007E055C" w:rsidRPr="00F76356" w:rsidRDefault="007E055C" w:rsidP="00A60CDE">
            <w:pPr>
              <w:pStyle w:val="TableParagraph"/>
              <w:spacing w:before="60" w:after="60"/>
              <w:ind w:left="0" w:firstLine="0"/>
              <w:jc w:val="center"/>
              <w:rPr>
                <w:sz w:val="26"/>
                <w:szCs w:val="26"/>
              </w:rPr>
            </w:pPr>
            <w:r w:rsidRPr="00F76356">
              <w:rPr>
                <w:w w:val="95"/>
                <w:sz w:val="26"/>
                <w:szCs w:val="26"/>
              </w:rPr>
              <w:t>100%</w:t>
            </w:r>
          </w:p>
        </w:tc>
        <w:tc>
          <w:tcPr>
            <w:tcW w:w="1109" w:type="dxa"/>
            <w:vAlign w:val="center"/>
          </w:tcPr>
          <w:p w14:paraId="35549A4D"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21.382</w:t>
            </w:r>
          </w:p>
        </w:tc>
        <w:tc>
          <w:tcPr>
            <w:tcW w:w="967" w:type="dxa"/>
            <w:vAlign w:val="center"/>
          </w:tcPr>
          <w:p w14:paraId="09B05E5B"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100%</w:t>
            </w:r>
          </w:p>
        </w:tc>
        <w:tc>
          <w:tcPr>
            <w:tcW w:w="1172" w:type="dxa"/>
            <w:vAlign w:val="center"/>
          </w:tcPr>
          <w:p w14:paraId="4E208F7E"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23.4</w:t>
            </w:r>
          </w:p>
        </w:tc>
        <w:tc>
          <w:tcPr>
            <w:tcW w:w="852" w:type="dxa"/>
            <w:vAlign w:val="center"/>
          </w:tcPr>
          <w:p w14:paraId="522DA4B9" w14:textId="77777777" w:rsidR="007E055C" w:rsidRPr="00F76356" w:rsidRDefault="007E055C" w:rsidP="00A60CDE">
            <w:pPr>
              <w:pStyle w:val="TableParagraph"/>
              <w:spacing w:before="60" w:after="60"/>
              <w:ind w:left="0" w:firstLine="0"/>
              <w:jc w:val="center"/>
              <w:rPr>
                <w:sz w:val="26"/>
                <w:szCs w:val="26"/>
              </w:rPr>
            </w:pPr>
            <w:r w:rsidRPr="00F76356">
              <w:rPr>
                <w:sz w:val="26"/>
                <w:szCs w:val="26"/>
              </w:rPr>
              <w:t>100%</w:t>
            </w:r>
          </w:p>
        </w:tc>
      </w:tr>
    </w:tbl>
    <w:p w14:paraId="1170F594" w14:textId="77777777" w:rsidR="007E055C" w:rsidRPr="00F76356" w:rsidRDefault="007E055C" w:rsidP="00DA5916">
      <w:pPr>
        <w:pStyle w:val="0NGUON"/>
        <w:rPr>
          <w:rFonts w:cs="Times New Roman"/>
        </w:rPr>
      </w:pPr>
      <w:r w:rsidRPr="00F76356">
        <w:rPr>
          <w:rFonts w:cs="Times New Roman"/>
        </w:rPr>
        <w:t>Nguồn: Báo cáo tài chính thay thế Âu Mỹ năm 2017.</w:t>
      </w:r>
    </w:p>
    <w:p w14:paraId="0811FB2B" w14:textId="77777777" w:rsidR="007E055C" w:rsidRPr="00F76356" w:rsidRDefault="007E055C" w:rsidP="00A60CDE">
      <w:pPr>
        <w:pStyle w:val="0NOIDUNG"/>
        <w:rPr>
          <w:rFonts w:cs="Times New Roman"/>
        </w:rPr>
      </w:pPr>
      <w:r w:rsidRPr="00F76356">
        <w:rPr>
          <w:rFonts w:cs="Times New Roman"/>
        </w:rPr>
        <w:t xml:space="preserve">Về tỷ trọng: </w:t>
      </w:r>
      <w:r w:rsidRPr="00F76356">
        <w:rPr>
          <w:rFonts w:cs="Times New Roman"/>
          <w:lang w:val="vi-VN"/>
        </w:rPr>
        <w:t xml:space="preserve">Cho vay ngang hàng tiêu dùng </w:t>
      </w:r>
      <w:r w:rsidRPr="00F76356">
        <w:rPr>
          <w:rFonts w:cs="Times New Roman"/>
        </w:rPr>
        <w:t xml:space="preserve">là ngành chiếm tỷ trọng lớn nhất trong tổng sản </w:t>
      </w:r>
      <w:r w:rsidRPr="00F76356">
        <w:rPr>
          <w:rFonts w:cs="Times New Roman"/>
          <w:spacing w:val="-10"/>
        </w:rPr>
        <w:t>l</w:t>
      </w:r>
      <w:r w:rsidRPr="00F76356">
        <w:rPr>
          <w:rFonts w:cs="Times New Roman"/>
          <w:spacing w:val="-10"/>
          <w:lang w:val="vi-VN"/>
        </w:rPr>
        <w:t>ư</w:t>
      </w:r>
      <w:r w:rsidRPr="00F76356">
        <w:rPr>
          <w:rFonts w:cs="Times New Roman"/>
          <w:spacing w:val="-10"/>
        </w:rPr>
        <w:t xml:space="preserve">ợng </w:t>
      </w:r>
      <w:r w:rsidRPr="00F76356">
        <w:rPr>
          <w:rFonts w:cs="Times New Roman"/>
          <w:lang w:val="vi-VN"/>
        </w:rPr>
        <w:t>cho vay ngang hàng</w:t>
      </w:r>
      <w:r w:rsidRPr="00F76356">
        <w:rPr>
          <w:rFonts w:cs="Times New Roman"/>
        </w:rPr>
        <w:t xml:space="preserve"> tại Mỹ. Năm 2016, riêng mô hình cho vay ngang hàng tiêu dùng đã đóng góp 21,1 tỷ đô la mỹ, chiếm đến 90% tổng số vốn vay của cho vay ngang hàng. Sản lượng cho vay ngang hàng thương mại đạt 1,3 tỷ </w:t>
      </w:r>
      <w:r w:rsidRPr="00F76356">
        <w:rPr>
          <w:rFonts w:cs="Times New Roman"/>
          <w:spacing w:val="-20"/>
        </w:rPr>
        <w:t xml:space="preserve">đô </w:t>
      </w:r>
      <w:r w:rsidRPr="00F76356">
        <w:rPr>
          <w:rFonts w:cs="Times New Roman"/>
        </w:rPr>
        <w:t xml:space="preserve">Mỹ, chiếm 6% tổng sản lƣợng ngành. Cho vay ngang hàng bất động sản chiếm 4% sản lượng ngành </w:t>
      </w:r>
      <w:r w:rsidRPr="00F76356">
        <w:rPr>
          <w:rFonts w:cs="Times New Roman"/>
          <w:spacing w:val="-32"/>
        </w:rPr>
        <w:t xml:space="preserve">với  </w:t>
      </w:r>
      <w:r w:rsidRPr="00F76356">
        <w:rPr>
          <w:rFonts w:cs="Times New Roman"/>
        </w:rPr>
        <w:t xml:space="preserve">số vốn vay là 1 </w:t>
      </w:r>
      <w:r w:rsidRPr="00F76356">
        <w:rPr>
          <w:rFonts w:cs="Times New Roman"/>
          <w:spacing w:val="3"/>
        </w:rPr>
        <w:t xml:space="preserve">tỷ </w:t>
      </w:r>
      <w:r w:rsidRPr="00F76356">
        <w:rPr>
          <w:rFonts w:cs="Times New Roman"/>
        </w:rPr>
        <w:t>đô Mỹ. Nhìn chung, cơ cấu ngành của cho vay ngang hàng Mỹ không có sự biến động lớn trong giai đoạn 2015-2016.</w:t>
      </w:r>
    </w:p>
    <w:p w14:paraId="34DD68B4" w14:textId="165163C0" w:rsidR="007E055C" w:rsidRPr="00F76356" w:rsidRDefault="007E055C" w:rsidP="00A60CDE">
      <w:pPr>
        <w:pStyle w:val="0NOIDUNG"/>
        <w:rPr>
          <w:rFonts w:cs="Times New Roman"/>
        </w:rPr>
      </w:pPr>
      <w:r w:rsidRPr="00F76356">
        <w:rPr>
          <w:rFonts w:cs="Times New Roman"/>
        </w:rPr>
        <w:t>Về</w:t>
      </w:r>
      <w:r w:rsidRPr="00F76356">
        <w:rPr>
          <w:rFonts w:cs="Times New Roman"/>
          <w:spacing w:val="-7"/>
        </w:rPr>
        <w:t xml:space="preserve"> </w:t>
      </w:r>
      <w:r w:rsidRPr="00F76356">
        <w:rPr>
          <w:rFonts w:cs="Times New Roman"/>
        </w:rPr>
        <w:t>tốc</w:t>
      </w:r>
      <w:r w:rsidRPr="00F76356">
        <w:rPr>
          <w:rFonts w:cs="Times New Roman"/>
          <w:spacing w:val="-6"/>
        </w:rPr>
        <w:t xml:space="preserve"> </w:t>
      </w:r>
      <w:r w:rsidRPr="00F76356">
        <w:rPr>
          <w:rFonts w:cs="Times New Roman"/>
        </w:rPr>
        <w:t>độ</w:t>
      </w:r>
      <w:r w:rsidRPr="00F76356">
        <w:rPr>
          <w:rFonts w:cs="Times New Roman"/>
          <w:spacing w:val="-6"/>
        </w:rPr>
        <w:t xml:space="preserve"> </w:t>
      </w:r>
      <w:r w:rsidRPr="00F76356">
        <w:rPr>
          <w:rFonts w:cs="Times New Roman"/>
        </w:rPr>
        <w:t>tăng</w:t>
      </w:r>
      <w:r w:rsidRPr="00F76356">
        <w:rPr>
          <w:rFonts w:cs="Times New Roman"/>
          <w:spacing w:val="-5"/>
        </w:rPr>
        <w:t xml:space="preserve"> </w:t>
      </w:r>
      <w:r w:rsidRPr="00F76356">
        <w:rPr>
          <w:rFonts w:cs="Times New Roman"/>
        </w:rPr>
        <w:t>trưởng:</w:t>
      </w:r>
      <w:r w:rsidRPr="00F76356">
        <w:rPr>
          <w:rFonts w:cs="Times New Roman"/>
          <w:spacing w:val="-2"/>
        </w:rPr>
        <w:t xml:space="preserve"> </w:t>
      </w:r>
      <w:r w:rsidRPr="00F76356">
        <w:rPr>
          <w:rFonts w:cs="Times New Roman"/>
        </w:rPr>
        <w:t>Nhìn</w:t>
      </w:r>
      <w:r w:rsidRPr="00F76356">
        <w:rPr>
          <w:rFonts w:cs="Times New Roman"/>
          <w:spacing w:val="-7"/>
        </w:rPr>
        <w:t xml:space="preserve"> </w:t>
      </w:r>
      <w:r w:rsidRPr="00F76356">
        <w:rPr>
          <w:rFonts w:cs="Times New Roman"/>
        </w:rPr>
        <w:t>chung</w:t>
      </w:r>
      <w:r w:rsidRPr="00F76356">
        <w:rPr>
          <w:rFonts w:cs="Times New Roman"/>
          <w:spacing w:val="-7"/>
        </w:rPr>
        <w:t xml:space="preserve"> </w:t>
      </w:r>
      <w:r w:rsidRPr="00F76356">
        <w:rPr>
          <w:rFonts w:cs="Times New Roman"/>
        </w:rPr>
        <w:t>trong</w:t>
      </w:r>
      <w:r w:rsidRPr="00F76356">
        <w:rPr>
          <w:rFonts w:cs="Times New Roman"/>
          <w:spacing w:val="-7"/>
        </w:rPr>
        <w:t xml:space="preserve"> </w:t>
      </w:r>
      <w:r w:rsidRPr="00F76356">
        <w:rPr>
          <w:rFonts w:cs="Times New Roman"/>
        </w:rPr>
        <w:t>giai</w:t>
      </w:r>
      <w:r w:rsidRPr="00F76356">
        <w:rPr>
          <w:rFonts w:cs="Times New Roman"/>
          <w:spacing w:val="-4"/>
        </w:rPr>
        <w:t xml:space="preserve"> </w:t>
      </w:r>
      <w:r w:rsidRPr="00F76356">
        <w:rPr>
          <w:rFonts w:cs="Times New Roman"/>
        </w:rPr>
        <w:t>đoạn</w:t>
      </w:r>
      <w:r w:rsidRPr="00F76356">
        <w:rPr>
          <w:rFonts w:cs="Times New Roman"/>
          <w:spacing w:val="-7"/>
        </w:rPr>
        <w:t xml:space="preserve"> </w:t>
      </w:r>
      <w:r w:rsidRPr="00F76356">
        <w:rPr>
          <w:rFonts w:cs="Times New Roman"/>
        </w:rPr>
        <w:t>2015-2016,</w:t>
      </w:r>
      <w:r w:rsidRPr="00F76356">
        <w:rPr>
          <w:rFonts w:cs="Times New Roman"/>
          <w:spacing w:val="-5"/>
        </w:rPr>
        <w:t xml:space="preserve"> </w:t>
      </w:r>
      <w:r w:rsidRPr="00F76356">
        <w:rPr>
          <w:rFonts w:cs="Times New Roman"/>
        </w:rPr>
        <w:t>tất</w:t>
      </w:r>
      <w:r w:rsidRPr="00F76356">
        <w:rPr>
          <w:rFonts w:cs="Times New Roman"/>
          <w:spacing w:val="-7"/>
        </w:rPr>
        <w:t xml:space="preserve"> </w:t>
      </w:r>
      <w:r w:rsidRPr="00F76356">
        <w:rPr>
          <w:rFonts w:cs="Times New Roman"/>
        </w:rPr>
        <w:t>cả</w:t>
      </w:r>
      <w:r w:rsidRPr="00F76356">
        <w:rPr>
          <w:rFonts w:cs="Times New Roman"/>
          <w:spacing w:val="-4"/>
        </w:rPr>
        <w:t xml:space="preserve"> </w:t>
      </w:r>
      <w:r w:rsidRPr="00F76356">
        <w:rPr>
          <w:rFonts w:cs="Times New Roman"/>
        </w:rPr>
        <w:t>các</w:t>
      </w:r>
      <w:r w:rsidRPr="00F76356">
        <w:rPr>
          <w:rFonts w:cs="Times New Roman"/>
          <w:spacing w:val="-6"/>
        </w:rPr>
        <w:t xml:space="preserve"> </w:t>
      </w:r>
      <w:r w:rsidRPr="00F76356">
        <w:rPr>
          <w:rFonts w:cs="Times New Roman"/>
          <w:spacing w:val="-9"/>
        </w:rPr>
        <w:t xml:space="preserve">thành </w:t>
      </w:r>
      <w:r w:rsidRPr="00F76356">
        <w:rPr>
          <w:rFonts w:cs="Times New Roman"/>
        </w:rPr>
        <w:t xml:space="preserve">phần của mô hình cho vay ngang hàng tại Hoa </w:t>
      </w:r>
      <w:r w:rsidRPr="00F76356">
        <w:rPr>
          <w:rFonts w:cs="Times New Roman"/>
          <w:spacing w:val="2"/>
        </w:rPr>
        <w:t xml:space="preserve">kỳ </w:t>
      </w:r>
      <w:r w:rsidRPr="00F76356">
        <w:rPr>
          <w:rFonts w:cs="Times New Roman"/>
        </w:rPr>
        <w:t xml:space="preserve">đều có tốc độ tăng trưởng giảm gấp nhiều </w:t>
      </w:r>
      <w:r w:rsidRPr="00F76356">
        <w:rPr>
          <w:rFonts w:cs="Times New Roman"/>
          <w:spacing w:val="-16"/>
        </w:rPr>
        <w:t xml:space="preserve">lần </w:t>
      </w:r>
      <w:r w:rsidRPr="00F76356">
        <w:rPr>
          <w:rFonts w:cs="Times New Roman"/>
        </w:rPr>
        <w:t xml:space="preserve">so với giai đoạn 2014-2015. Nếu như giai đoạn 2014-2015, tốc độ tăng trưởng </w:t>
      </w:r>
      <w:r w:rsidRPr="00F76356">
        <w:rPr>
          <w:rFonts w:cs="Times New Roman"/>
          <w:spacing w:val="-34"/>
        </w:rPr>
        <w:t xml:space="preserve">của  </w:t>
      </w:r>
      <w:r w:rsidRPr="00F76356">
        <w:rPr>
          <w:rFonts w:cs="Times New Roman"/>
        </w:rPr>
        <w:t xml:space="preserve">tất cả các ngành đều đạt trên 130%, thì sang giai đoạn 2015-2016, tốc độ tăng trưởng chỉ còn dưới 20%, cụ thể cho vay ngang hàng tiêu dùng tăng 17%, cho vay ngân hàng giảm 50%, </w:t>
      </w:r>
      <w:r w:rsidRPr="00F76356">
        <w:rPr>
          <w:rFonts w:cs="Times New Roman"/>
          <w:spacing w:val="-49"/>
        </w:rPr>
        <w:t xml:space="preserve">và      </w:t>
      </w:r>
      <w:r w:rsidRPr="00F76356">
        <w:rPr>
          <w:rFonts w:cs="Times New Roman"/>
        </w:rPr>
        <w:t>CVNH bất động sản tăng</w:t>
      </w:r>
      <w:r w:rsidRPr="00F76356">
        <w:rPr>
          <w:rFonts w:cs="Times New Roman"/>
          <w:spacing w:val="-1"/>
        </w:rPr>
        <w:t xml:space="preserve"> </w:t>
      </w:r>
      <w:r w:rsidRPr="00F76356">
        <w:rPr>
          <w:rFonts w:cs="Times New Roman"/>
        </w:rPr>
        <w:t>8%.</w:t>
      </w:r>
    </w:p>
    <w:p w14:paraId="41366AB9" w14:textId="77777777" w:rsidR="00A60CDE" w:rsidRPr="00F76356" w:rsidRDefault="00A60CDE" w:rsidP="00DA5916">
      <w:pPr>
        <w:pStyle w:val="0LV3"/>
        <w:rPr>
          <w:rFonts w:cs="Times New Roman"/>
        </w:rPr>
      </w:pPr>
    </w:p>
    <w:p w14:paraId="2D069131" w14:textId="77777777" w:rsidR="007E055C" w:rsidRPr="00F76356" w:rsidRDefault="007E055C" w:rsidP="00DA5916">
      <w:pPr>
        <w:pStyle w:val="0LV3"/>
        <w:rPr>
          <w:rFonts w:cs="Times New Roman"/>
        </w:rPr>
      </w:pPr>
      <w:bookmarkStart w:id="14" w:name="_Toc134387168"/>
      <w:r w:rsidRPr="00F76356">
        <w:rPr>
          <w:rFonts w:cs="Times New Roman"/>
        </w:rPr>
        <w:lastRenderedPageBreak/>
        <w:t>2.1.3. Trung Quốc</w:t>
      </w:r>
      <w:bookmarkEnd w:id="14"/>
    </w:p>
    <w:p w14:paraId="6FFCC96F" w14:textId="77777777" w:rsidR="007E055C" w:rsidRPr="00F76356" w:rsidRDefault="007E055C" w:rsidP="00DA5916">
      <w:pPr>
        <w:pStyle w:val="0LV4"/>
        <w:rPr>
          <w:rFonts w:cs="Times New Roman"/>
        </w:rPr>
      </w:pPr>
      <w:r w:rsidRPr="00F76356">
        <w:rPr>
          <w:rFonts w:cs="Times New Roman"/>
        </w:rPr>
        <w:t>2.1.3.1. Quy mô và cơ cấu tại Trung Quốc</w:t>
      </w:r>
    </w:p>
    <w:p w14:paraId="4FC88FD9" w14:textId="77777777" w:rsidR="007E055C" w:rsidRPr="00F76356" w:rsidRDefault="007E055C" w:rsidP="00A60CDE">
      <w:pPr>
        <w:pStyle w:val="0NOIDUNG"/>
        <w:rPr>
          <w:rFonts w:cs="Times New Roman"/>
        </w:rPr>
      </w:pPr>
      <w:r w:rsidRPr="00F76356">
        <w:rPr>
          <w:rFonts w:cs="Times New Roman"/>
        </w:rPr>
        <w:t>Quy mô: Tổng sản lượng sản lượng cho vay ngang hàng tại Trung Quốc năm 2016 đạt 201,76 tỷ USD, tăng lên đến 107% so với năm 2015. Tuy nhiên, nếu so sánh mức tăng</w:t>
      </w:r>
      <w:r w:rsidRPr="00F76356">
        <w:rPr>
          <w:rFonts w:cs="Times New Roman"/>
          <w:spacing w:val="-6"/>
        </w:rPr>
        <w:t xml:space="preserve"> </w:t>
      </w:r>
      <w:r w:rsidRPr="00F76356">
        <w:rPr>
          <w:rFonts w:cs="Times New Roman"/>
        </w:rPr>
        <w:t>trưởng</w:t>
      </w:r>
      <w:r w:rsidRPr="00F76356">
        <w:rPr>
          <w:rFonts w:cs="Times New Roman"/>
          <w:spacing w:val="-4"/>
        </w:rPr>
        <w:t xml:space="preserve"> </w:t>
      </w:r>
      <w:r w:rsidRPr="00F76356">
        <w:rPr>
          <w:rFonts w:cs="Times New Roman"/>
        </w:rPr>
        <w:t>quy</w:t>
      </w:r>
      <w:r w:rsidRPr="00F76356">
        <w:rPr>
          <w:rFonts w:cs="Times New Roman"/>
          <w:spacing w:val="-8"/>
        </w:rPr>
        <w:t xml:space="preserve"> </w:t>
      </w:r>
      <w:r w:rsidRPr="00F76356">
        <w:rPr>
          <w:rFonts w:cs="Times New Roman"/>
        </w:rPr>
        <w:t>mô</w:t>
      </w:r>
      <w:r w:rsidRPr="00F76356">
        <w:rPr>
          <w:rFonts w:cs="Times New Roman"/>
          <w:spacing w:val="-6"/>
        </w:rPr>
        <w:t xml:space="preserve"> </w:t>
      </w:r>
      <w:r w:rsidRPr="00F76356">
        <w:rPr>
          <w:rFonts w:cs="Times New Roman"/>
        </w:rPr>
        <w:t>toàn</w:t>
      </w:r>
      <w:r w:rsidRPr="00F76356">
        <w:rPr>
          <w:rFonts w:cs="Times New Roman"/>
          <w:spacing w:val="-5"/>
        </w:rPr>
        <w:t xml:space="preserve"> </w:t>
      </w:r>
      <w:r w:rsidRPr="00F76356">
        <w:rPr>
          <w:rFonts w:cs="Times New Roman"/>
        </w:rPr>
        <w:t>ngành</w:t>
      </w:r>
      <w:r w:rsidRPr="00F76356">
        <w:rPr>
          <w:rFonts w:cs="Times New Roman"/>
          <w:spacing w:val="-4"/>
        </w:rPr>
        <w:t xml:space="preserve"> </w:t>
      </w:r>
      <w:r w:rsidRPr="00F76356">
        <w:rPr>
          <w:rFonts w:cs="Times New Roman"/>
        </w:rPr>
        <w:t>với</w:t>
      </w:r>
      <w:r w:rsidRPr="00F76356">
        <w:rPr>
          <w:rFonts w:cs="Times New Roman"/>
          <w:spacing w:val="-4"/>
        </w:rPr>
        <w:t xml:space="preserve"> </w:t>
      </w:r>
      <w:r w:rsidRPr="00F76356">
        <w:rPr>
          <w:rFonts w:cs="Times New Roman"/>
        </w:rPr>
        <w:t>giai</w:t>
      </w:r>
      <w:r w:rsidRPr="00F76356">
        <w:rPr>
          <w:rFonts w:cs="Times New Roman"/>
          <w:spacing w:val="-5"/>
        </w:rPr>
        <w:t xml:space="preserve"> </w:t>
      </w:r>
      <w:r w:rsidRPr="00F76356">
        <w:rPr>
          <w:rFonts w:cs="Times New Roman"/>
        </w:rPr>
        <w:t>đoạn</w:t>
      </w:r>
      <w:r w:rsidRPr="00F76356">
        <w:rPr>
          <w:rFonts w:cs="Times New Roman"/>
          <w:spacing w:val="-4"/>
        </w:rPr>
        <w:t xml:space="preserve"> </w:t>
      </w:r>
      <w:r w:rsidRPr="00F76356">
        <w:rPr>
          <w:rFonts w:cs="Times New Roman"/>
        </w:rPr>
        <w:t>2014-2015,</w:t>
      </w:r>
      <w:r w:rsidRPr="00F76356">
        <w:rPr>
          <w:rFonts w:cs="Times New Roman"/>
          <w:spacing w:val="-6"/>
        </w:rPr>
        <w:t xml:space="preserve"> </w:t>
      </w:r>
      <w:r w:rsidRPr="00F76356">
        <w:rPr>
          <w:rFonts w:cs="Times New Roman"/>
        </w:rPr>
        <w:t>ta</w:t>
      </w:r>
      <w:r w:rsidRPr="00F76356">
        <w:rPr>
          <w:rFonts w:cs="Times New Roman"/>
          <w:spacing w:val="-3"/>
        </w:rPr>
        <w:t xml:space="preserve"> </w:t>
      </w:r>
      <w:r w:rsidRPr="00F76356">
        <w:rPr>
          <w:rFonts w:cs="Times New Roman"/>
        </w:rPr>
        <w:t>thấy</w:t>
      </w:r>
      <w:r w:rsidRPr="00F76356">
        <w:rPr>
          <w:rFonts w:cs="Times New Roman"/>
          <w:spacing w:val="-10"/>
        </w:rPr>
        <w:t xml:space="preserve"> </w:t>
      </w:r>
      <w:r w:rsidRPr="00F76356">
        <w:rPr>
          <w:rFonts w:cs="Times New Roman"/>
        </w:rPr>
        <w:t>tốc</w:t>
      </w:r>
      <w:r w:rsidRPr="00F76356">
        <w:rPr>
          <w:rFonts w:cs="Times New Roman"/>
          <w:spacing w:val="-4"/>
        </w:rPr>
        <w:t xml:space="preserve"> </w:t>
      </w:r>
      <w:r w:rsidRPr="00F76356">
        <w:rPr>
          <w:rFonts w:cs="Times New Roman"/>
        </w:rPr>
        <w:t>độ</w:t>
      </w:r>
      <w:r w:rsidRPr="00F76356">
        <w:rPr>
          <w:rFonts w:cs="Times New Roman"/>
          <w:spacing w:val="-6"/>
        </w:rPr>
        <w:t xml:space="preserve"> </w:t>
      </w:r>
      <w:r w:rsidRPr="00F76356">
        <w:rPr>
          <w:rFonts w:cs="Times New Roman"/>
        </w:rPr>
        <w:t>tăng</w:t>
      </w:r>
      <w:r w:rsidRPr="00F76356">
        <w:rPr>
          <w:rFonts w:cs="Times New Roman"/>
          <w:spacing w:val="-4"/>
        </w:rPr>
        <w:t xml:space="preserve"> </w:t>
      </w:r>
      <w:r w:rsidRPr="00F76356">
        <w:rPr>
          <w:rFonts w:cs="Times New Roman"/>
          <w:spacing w:val="-16"/>
        </w:rPr>
        <w:t xml:space="preserve">trƣởng </w:t>
      </w:r>
      <w:r w:rsidRPr="00F76356">
        <w:rPr>
          <w:rFonts w:cs="Times New Roman"/>
        </w:rPr>
        <w:t>đã giảm gần một</w:t>
      </w:r>
      <w:r w:rsidRPr="00F76356">
        <w:rPr>
          <w:rFonts w:cs="Times New Roman"/>
          <w:spacing w:val="-2"/>
        </w:rPr>
        <w:t xml:space="preserve"> </w:t>
      </w:r>
      <w:r w:rsidRPr="00F76356">
        <w:rPr>
          <w:rFonts w:cs="Times New Roman"/>
        </w:rPr>
        <w:t>nửa.</w:t>
      </w:r>
    </w:p>
    <w:p w14:paraId="5C4360A8" w14:textId="77777777" w:rsidR="007E055C" w:rsidRPr="00F76356" w:rsidRDefault="007E055C" w:rsidP="00A60CDE">
      <w:pPr>
        <w:pStyle w:val="0NOIDUNG"/>
        <w:rPr>
          <w:rFonts w:cs="Times New Roman"/>
        </w:rPr>
      </w:pPr>
      <w:r w:rsidRPr="00F76356">
        <w:rPr>
          <w:rFonts w:cs="Times New Roman"/>
        </w:rPr>
        <w:t xml:space="preserve">Tỷ trọng: Tại Trung Quốc, mô hình cho vay ngang hàng lớn nhất là cho vay ngang hàng tiêu dùng với quy mô 136,54 </w:t>
      </w:r>
      <w:r w:rsidRPr="00F76356">
        <w:rPr>
          <w:rFonts w:cs="Times New Roman"/>
          <w:spacing w:val="2"/>
        </w:rPr>
        <w:t xml:space="preserve">tỷ </w:t>
      </w:r>
      <w:r w:rsidRPr="00F76356">
        <w:rPr>
          <w:rFonts w:cs="Times New Roman"/>
        </w:rPr>
        <w:t xml:space="preserve">đô la Mỹ, tương đương với khoảng 68% tổng quy mô cho vay ngang hàng ở </w:t>
      </w:r>
      <w:r w:rsidRPr="00F76356">
        <w:rPr>
          <w:rFonts w:cs="Times New Roman"/>
          <w:spacing w:val="-17"/>
        </w:rPr>
        <w:t xml:space="preserve">Trung </w:t>
      </w:r>
      <w:r w:rsidRPr="00F76356">
        <w:rPr>
          <w:rFonts w:cs="Times New Roman"/>
        </w:rPr>
        <w:t>Quốc. Vị trí thứ hai thuộc về cho vay ngang hàng thương mại với tổng số 58,18 tỷ USD, chiếm khoảng 29%</w:t>
      </w:r>
      <w:r w:rsidRPr="00F76356">
        <w:rPr>
          <w:rFonts w:cs="Times New Roman"/>
          <w:spacing w:val="-4"/>
        </w:rPr>
        <w:t xml:space="preserve"> </w:t>
      </w:r>
      <w:r w:rsidRPr="00F76356">
        <w:rPr>
          <w:rFonts w:cs="Times New Roman"/>
        </w:rPr>
        <w:t>thị</w:t>
      </w:r>
      <w:r w:rsidRPr="00F76356">
        <w:rPr>
          <w:rFonts w:cs="Times New Roman"/>
          <w:spacing w:val="-4"/>
        </w:rPr>
        <w:t xml:space="preserve"> </w:t>
      </w:r>
      <w:r w:rsidRPr="00F76356">
        <w:rPr>
          <w:rFonts w:cs="Times New Roman"/>
        </w:rPr>
        <w:t>trường</w:t>
      </w:r>
      <w:r w:rsidRPr="00F76356">
        <w:rPr>
          <w:rFonts w:cs="Times New Roman"/>
          <w:spacing w:val="-2"/>
        </w:rPr>
        <w:t xml:space="preserve"> </w:t>
      </w:r>
      <w:r w:rsidRPr="00F76356">
        <w:rPr>
          <w:rFonts w:cs="Times New Roman"/>
        </w:rPr>
        <w:t>Trung</w:t>
      </w:r>
      <w:r w:rsidRPr="00F76356">
        <w:rPr>
          <w:rFonts w:cs="Times New Roman"/>
          <w:spacing w:val="-1"/>
        </w:rPr>
        <w:t xml:space="preserve"> </w:t>
      </w:r>
      <w:r w:rsidRPr="00F76356">
        <w:rPr>
          <w:rFonts w:cs="Times New Roman"/>
        </w:rPr>
        <w:t>Quốc.</w:t>
      </w:r>
      <w:r w:rsidRPr="00F76356">
        <w:rPr>
          <w:rFonts w:cs="Times New Roman"/>
          <w:spacing w:val="-4"/>
        </w:rPr>
        <w:t xml:space="preserve"> </w:t>
      </w:r>
      <w:r w:rsidRPr="00F76356">
        <w:rPr>
          <w:rFonts w:cs="Times New Roman"/>
        </w:rPr>
        <w:t>Cho vay ngang hàng bất động sản</w:t>
      </w:r>
      <w:r w:rsidRPr="00F76356">
        <w:rPr>
          <w:rFonts w:cs="Times New Roman"/>
          <w:spacing w:val="-2"/>
        </w:rPr>
        <w:t xml:space="preserve"> </w:t>
      </w:r>
      <w:r w:rsidRPr="00F76356">
        <w:rPr>
          <w:rFonts w:cs="Times New Roman"/>
        </w:rPr>
        <w:t>năm</w:t>
      </w:r>
      <w:r w:rsidRPr="00F76356">
        <w:rPr>
          <w:rFonts w:cs="Times New Roman"/>
          <w:spacing w:val="-6"/>
        </w:rPr>
        <w:t xml:space="preserve"> </w:t>
      </w:r>
      <w:r w:rsidRPr="00F76356">
        <w:rPr>
          <w:rFonts w:cs="Times New Roman"/>
        </w:rPr>
        <w:t>2016</w:t>
      </w:r>
      <w:r w:rsidRPr="00F76356">
        <w:rPr>
          <w:rFonts w:cs="Times New Roman"/>
          <w:spacing w:val="-5"/>
        </w:rPr>
        <w:t xml:space="preserve"> </w:t>
      </w:r>
      <w:r w:rsidRPr="00F76356">
        <w:rPr>
          <w:rFonts w:cs="Times New Roman"/>
        </w:rPr>
        <w:t>đạt</w:t>
      </w:r>
      <w:r w:rsidRPr="00F76356">
        <w:rPr>
          <w:rFonts w:cs="Times New Roman"/>
          <w:spacing w:val="-4"/>
        </w:rPr>
        <w:t xml:space="preserve"> </w:t>
      </w:r>
      <w:r w:rsidRPr="00F76356">
        <w:rPr>
          <w:rFonts w:cs="Times New Roman"/>
        </w:rPr>
        <w:t>7.04</w:t>
      </w:r>
      <w:r w:rsidRPr="00F76356">
        <w:rPr>
          <w:rFonts w:cs="Times New Roman"/>
          <w:spacing w:val="-5"/>
        </w:rPr>
        <w:t xml:space="preserve"> </w:t>
      </w:r>
      <w:r w:rsidRPr="00F76356">
        <w:rPr>
          <w:rFonts w:cs="Times New Roman"/>
          <w:spacing w:val="3"/>
        </w:rPr>
        <w:t>tỷ</w:t>
      </w:r>
      <w:r w:rsidRPr="00F76356">
        <w:rPr>
          <w:rFonts w:cs="Times New Roman"/>
          <w:spacing w:val="-8"/>
        </w:rPr>
        <w:t xml:space="preserve"> </w:t>
      </w:r>
      <w:r w:rsidRPr="00F76356">
        <w:rPr>
          <w:rFonts w:cs="Times New Roman"/>
        </w:rPr>
        <w:t>USD,</w:t>
      </w:r>
      <w:r w:rsidRPr="00F76356">
        <w:rPr>
          <w:rFonts w:cs="Times New Roman"/>
          <w:spacing w:val="-4"/>
        </w:rPr>
        <w:t xml:space="preserve"> </w:t>
      </w:r>
      <w:r w:rsidRPr="00F76356">
        <w:rPr>
          <w:rFonts w:cs="Times New Roman"/>
        </w:rPr>
        <w:t>chỉ</w:t>
      </w:r>
      <w:r w:rsidRPr="00F76356">
        <w:rPr>
          <w:rFonts w:cs="Times New Roman"/>
          <w:spacing w:val="-3"/>
        </w:rPr>
        <w:t xml:space="preserve"> </w:t>
      </w:r>
      <w:r w:rsidRPr="00F76356">
        <w:rPr>
          <w:rFonts w:cs="Times New Roman"/>
        </w:rPr>
        <w:t>chiếm</w:t>
      </w:r>
      <w:r w:rsidRPr="00F76356">
        <w:rPr>
          <w:rFonts w:cs="Times New Roman"/>
          <w:spacing w:val="-7"/>
        </w:rPr>
        <w:t xml:space="preserve"> </w:t>
      </w:r>
      <w:r w:rsidRPr="00F76356">
        <w:rPr>
          <w:rFonts w:cs="Times New Roman"/>
          <w:spacing w:val="-22"/>
        </w:rPr>
        <w:t xml:space="preserve">3% </w:t>
      </w:r>
      <w:r w:rsidRPr="00F76356">
        <w:rPr>
          <w:rFonts w:cs="Times New Roman"/>
        </w:rPr>
        <w:t>thị</w:t>
      </w:r>
      <w:r w:rsidRPr="00F76356">
        <w:rPr>
          <w:rFonts w:cs="Times New Roman"/>
          <w:spacing w:val="-2"/>
        </w:rPr>
        <w:t xml:space="preserve"> </w:t>
      </w:r>
      <w:r w:rsidRPr="00F76356">
        <w:rPr>
          <w:rFonts w:cs="Times New Roman"/>
        </w:rPr>
        <w:t>trường.</w:t>
      </w:r>
    </w:p>
    <w:p w14:paraId="1FDFEB4B" w14:textId="77777777" w:rsidR="007E055C" w:rsidRPr="00F76356" w:rsidRDefault="007E055C" w:rsidP="00A60CDE">
      <w:pPr>
        <w:pStyle w:val="0NOIDUNG"/>
        <w:rPr>
          <w:rFonts w:cs="Times New Roman"/>
        </w:rPr>
      </w:pPr>
      <w:r w:rsidRPr="00F76356">
        <w:rPr>
          <w:rFonts w:cs="Times New Roman"/>
        </w:rPr>
        <w:t>Tốc độ tăng trưởng: Trong ba mô hình cho vay ngang hàng tại Trung Quốc có xu hướng</w:t>
      </w:r>
      <w:r w:rsidRPr="00F76356">
        <w:rPr>
          <w:rFonts w:cs="Times New Roman"/>
          <w:spacing w:val="-33"/>
        </w:rPr>
        <w:t xml:space="preserve"> </w:t>
      </w:r>
      <w:r w:rsidRPr="00F76356">
        <w:rPr>
          <w:rFonts w:cs="Times New Roman"/>
          <w:spacing w:val="-48"/>
        </w:rPr>
        <w:t xml:space="preserve">t  ỷ      </w:t>
      </w:r>
      <w:r w:rsidRPr="00F76356">
        <w:rPr>
          <w:rFonts w:cs="Times New Roman"/>
        </w:rPr>
        <w:t xml:space="preserve">lệ thuận với </w:t>
      </w:r>
      <w:r w:rsidRPr="00F76356">
        <w:rPr>
          <w:rFonts w:cs="Times New Roman"/>
          <w:spacing w:val="2"/>
        </w:rPr>
        <w:t xml:space="preserve">tỷ </w:t>
      </w:r>
      <w:r w:rsidRPr="00F76356">
        <w:rPr>
          <w:rFonts w:cs="Times New Roman"/>
        </w:rPr>
        <w:t>trọng trong giai đoạn 2015-2016. Cụ thể, mô hình cho vay ngang hàng tiêu dùng có mức độ phát triển lớn nhất với mức tăng là 160%, đứng thứ hai là mô hình cho vay ngang hàng tiêu dùng</w:t>
      </w:r>
      <w:r w:rsidRPr="00F76356">
        <w:rPr>
          <w:rFonts w:cs="Times New Roman"/>
          <w:spacing w:val="-5"/>
        </w:rPr>
        <w:t xml:space="preserve"> </w:t>
      </w:r>
      <w:r w:rsidRPr="00F76356">
        <w:rPr>
          <w:rFonts w:cs="Times New Roman"/>
        </w:rPr>
        <w:t>với</w:t>
      </w:r>
      <w:r w:rsidRPr="00F76356">
        <w:rPr>
          <w:rFonts w:cs="Times New Roman"/>
          <w:spacing w:val="-3"/>
        </w:rPr>
        <w:t xml:space="preserve"> </w:t>
      </w:r>
      <w:r w:rsidRPr="00F76356">
        <w:rPr>
          <w:rFonts w:cs="Times New Roman"/>
        </w:rPr>
        <w:t>mức</w:t>
      </w:r>
      <w:r w:rsidRPr="00F76356">
        <w:rPr>
          <w:rFonts w:cs="Times New Roman"/>
          <w:spacing w:val="-2"/>
        </w:rPr>
        <w:t xml:space="preserve"> </w:t>
      </w:r>
      <w:r w:rsidRPr="00F76356">
        <w:rPr>
          <w:rFonts w:cs="Times New Roman"/>
        </w:rPr>
        <w:t>tăng</w:t>
      </w:r>
      <w:r w:rsidRPr="00F76356">
        <w:rPr>
          <w:rFonts w:cs="Times New Roman"/>
          <w:spacing w:val="-5"/>
        </w:rPr>
        <w:t xml:space="preserve"> </w:t>
      </w:r>
      <w:r w:rsidRPr="00F76356">
        <w:rPr>
          <w:rFonts w:cs="Times New Roman"/>
        </w:rPr>
        <w:t>trưởng</w:t>
      </w:r>
      <w:r w:rsidRPr="00F76356">
        <w:rPr>
          <w:rFonts w:cs="Times New Roman"/>
          <w:spacing w:val="-5"/>
        </w:rPr>
        <w:t xml:space="preserve"> </w:t>
      </w:r>
      <w:r w:rsidRPr="00F76356">
        <w:rPr>
          <w:rFonts w:cs="Times New Roman"/>
        </w:rPr>
        <w:t>47%</w:t>
      </w:r>
      <w:r w:rsidRPr="00F76356">
        <w:rPr>
          <w:rFonts w:cs="Times New Roman"/>
          <w:spacing w:val="-5"/>
        </w:rPr>
        <w:t xml:space="preserve"> </w:t>
      </w:r>
      <w:r w:rsidRPr="00F76356">
        <w:rPr>
          <w:rFonts w:cs="Times New Roman"/>
        </w:rPr>
        <w:t>và</w:t>
      </w:r>
      <w:r w:rsidRPr="00F76356">
        <w:rPr>
          <w:rFonts w:cs="Times New Roman"/>
          <w:spacing w:val="-2"/>
        </w:rPr>
        <w:t xml:space="preserve"> </w:t>
      </w:r>
      <w:r w:rsidRPr="00F76356">
        <w:rPr>
          <w:rFonts w:cs="Times New Roman"/>
        </w:rPr>
        <w:t xml:space="preserve">cho vay ngang hàng bất động sản </w:t>
      </w:r>
      <w:r w:rsidRPr="00F76356">
        <w:rPr>
          <w:rFonts w:cs="Times New Roman"/>
          <w:spacing w:val="-5"/>
        </w:rPr>
        <w:t xml:space="preserve"> </w:t>
      </w:r>
      <w:r w:rsidRPr="00F76356">
        <w:rPr>
          <w:rFonts w:cs="Times New Roman"/>
        </w:rPr>
        <w:t>tăng</w:t>
      </w:r>
      <w:r w:rsidRPr="00F76356">
        <w:rPr>
          <w:rFonts w:cs="Times New Roman"/>
          <w:spacing w:val="-5"/>
        </w:rPr>
        <w:t xml:space="preserve"> </w:t>
      </w:r>
      <w:r w:rsidRPr="00F76356">
        <w:rPr>
          <w:rFonts w:cs="Times New Roman"/>
        </w:rPr>
        <w:t>28%</w:t>
      </w:r>
      <w:r w:rsidRPr="00F76356">
        <w:rPr>
          <w:rFonts w:cs="Times New Roman"/>
          <w:spacing w:val="-5"/>
        </w:rPr>
        <w:t xml:space="preserve"> </w:t>
      </w:r>
      <w:r w:rsidRPr="00F76356">
        <w:rPr>
          <w:rFonts w:cs="Times New Roman"/>
        </w:rPr>
        <w:t>giai</w:t>
      </w:r>
      <w:r w:rsidRPr="00F76356">
        <w:rPr>
          <w:rFonts w:cs="Times New Roman"/>
          <w:spacing w:val="-4"/>
        </w:rPr>
        <w:t xml:space="preserve"> </w:t>
      </w:r>
      <w:r w:rsidRPr="00F76356">
        <w:rPr>
          <w:rFonts w:cs="Times New Roman"/>
        </w:rPr>
        <w:t>đoạn</w:t>
      </w:r>
      <w:r w:rsidRPr="00F76356">
        <w:rPr>
          <w:rFonts w:cs="Times New Roman"/>
          <w:spacing w:val="-5"/>
        </w:rPr>
        <w:t xml:space="preserve"> </w:t>
      </w:r>
      <w:r w:rsidRPr="00F76356">
        <w:rPr>
          <w:rFonts w:cs="Times New Roman"/>
        </w:rPr>
        <w:t>2015-2016.</w:t>
      </w:r>
    </w:p>
    <w:p w14:paraId="38DD2140" w14:textId="77777777" w:rsidR="00535681" w:rsidRPr="00F76356" w:rsidRDefault="007E055C" w:rsidP="00A60CDE">
      <w:pPr>
        <w:pStyle w:val="0NOIDUNG"/>
        <w:rPr>
          <w:rFonts w:cs="Times New Roman"/>
        </w:rPr>
      </w:pPr>
      <w:r w:rsidRPr="00F76356">
        <w:rPr>
          <w:rFonts w:cs="Times New Roman"/>
        </w:rPr>
        <w:t xml:space="preserve">Các lĩnh vực đầu tƣ chủ đạo: Nguồn vốn cho vay ngang hàng tiêu dùng được đầu tư nhiều </w:t>
      </w:r>
      <w:r w:rsidRPr="00F76356">
        <w:rPr>
          <w:rFonts w:cs="Times New Roman"/>
          <w:spacing w:val="-35"/>
        </w:rPr>
        <w:t xml:space="preserve">n h ấ t  </w:t>
      </w:r>
      <w:r w:rsidRPr="00F76356">
        <w:rPr>
          <w:rFonts w:cs="Times New Roman"/>
        </w:rPr>
        <w:t xml:space="preserve">cho bốn lĩnh vực: Bán lẻ và bán buôn, tiếp theo là Sản xuất &amp; </w:t>
      </w:r>
      <w:r w:rsidRPr="00F76356">
        <w:rPr>
          <w:rFonts w:cs="Times New Roman"/>
          <w:spacing w:val="2"/>
        </w:rPr>
        <w:t xml:space="preserve">kỹ </w:t>
      </w:r>
      <w:r w:rsidRPr="00F76356">
        <w:rPr>
          <w:rFonts w:cs="Times New Roman"/>
        </w:rPr>
        <w:t xml:space="preserve">thuật, Tài chính, và cuối cùng là Kinh doanh &amp; dịch vụ. Trong khi đó, lĩnh vực Sản xuất &amp; </w:t>
      </w:r>
      <w:r w:rsidRPr="00F76356">
        <w:rPr>
          <w:rFonts w:cs="Times New Roman"/>
          <w:spacing w:val="2"/>
        </w:rPr>
        <w:t xml:space="preserve">kỹ </w:t>
      </w:r>
      <w:r w:rsidRPr="00F76356">
        <w:rPr>
          <w:rFonts w:cs="Times New Roman"/>
        </w:rPr>
        <w:t xml:space="preserve">thuật, Bán lẻ &amp; bán buôn và Bất động sản được báo cáo là ba các ngành công nghiệp </w:t>
      </w:r>
      <w:r w:rsidRPr="00F76356">
        <w:rPr>
          <w:rFonts w:cs="Times New Roman"/>
          <w:spacing w:val="-18"/>
        </w:rPr>
        <w:t xml:space="preserve">phổ </w:t>
      </w:r>
      <w:r w:rsidRPr="00F76356">
        <w:rPr>
          <w:rFonts w:cs="Times New Roman"/>
        </w:rPr>
        <w:t>biến nhất được tài trợ bởi cho vay ngang hàng thương mại</w:t>
      </w:r>
    </w:p>
    <w:p w14:paraId="7FC6578D" w14:textId="6078A743" w:rsidR="00535681" w:rsidRPr="00F76356" w:rsidRDefault="007E055C" w:rsidP="00DA5916">
      <w:pPr>
        <w:pStyle w:val="0BANG"/>
        <w:rPr>
          <w:rFonts w:cs="Times New Roman"/>
        </w:rPr>
      </w:pPr>
      <w:bookmarkStart w:id="15" w:name="_Toc134387193"/>
      <w:r w:rsidRPr="00F76356">
        <w:rPr>
          <w:rFonts w:cs="Times New Roman"/>
        </w:rPr>
        <w:t>Bảng 2.</w:t>
      </w:r>
      <w:r w:rsidR="009949DA">
        <w:rPr>
          <w:rFonts w:cs="Times New Roman"/>
        </w:rPr>
        <w:t>3</w:t>
      </w:r>
      <w:r w:rsidRPr="00F76356">
        <w:rPr>
          <w:rFonts w:cs="Times New Roman"/>
        </w:rPr>
        <w:t>: Quy mô và tỷ trọng ngành Cho vay ngang hàng tại Trung Quốc</w:t>
      </w:r>
      <w:r w:rsidR="00535681" w:rsidRPr="00F76356">
        <w:rPr>
          <w:rFonts w:cs="Times New Roman"/>
          <w:bCs/>
          <w:lang w:val="vi"/>
        </w:rPr>
        <w:t xml:space="preserve"> </w:t>
      </w:r>
      <w:r w:rsidRPr="00F76356">
        <w:rPr>
          <w:rFonts w:cs="Times New Roman"/>
          <w:bCs/>
        </w:rPr>
        <w:t>giai đoạn 2014-2016.</w:t>
      </w:r>
      <w:bookmarkEnd w:id="15"/>
    </w:p>
    <w:p w14:paraId="4E830781" w14:textId="6D981E11" w:rsidR="007E055C" w:rsidRPr="00F76356" w:rsidRDefault="007E055C" w:rsidP="00A60CDE">
      <w:pPr>
        <w:pStyle w:val="0NGUON"/>
        <w:rPr>
          <w:rFonts w:cs="Times New Roman"/>
        </w:rPr>
      </w:pPr>
      <w:r w:rsidRPr="00F76356">
        <w:rPr>
          <w:rFonts w:cs="Times New Roman"/>
        </w:rPr>
        <w:t>Đơn vị tính: Tỷ đô la Mỹ.</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197"/>
        <w:gridCol w:w="1238"/>
        <w:gridCol w:w="1070"/>
        <w:gridCol w:w="1340"/>
        <w:gridCol w:w="1169"/>
        <w:gridCol w:w="1241"/>
      </w:tblGrid>
      <w:tr w:rsidR="00A60CDE" w:rsidRPr="00F76356" w14:paraId="4EB7081A" w14:textId="77777777" w:rsidTr="00D87BDA">
        <w:trPr>
          <w:trHeight w:val="20"/>
        </w:trPr>
        <w:tc>
          <w:tcPr>
            <w:tcW w:w="1534" w:type="dxa"/>
            <w:vMerge w:val="restart"/>
            <w:vAlign w:val="center"/>
          </w:tcPr>
          <w:p w14:paraId="55F1A8FC"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Mô hình CVNH</w:t>
            </w:r>
          </w:p>
        </w:tc>
        <w:tc>
          <w:tcPr>
            <w:tcW w:w="2435" w:type="dxa"/>
            <w:gridSpan w:val="2"/>
            <w:tcBorders>
              <w:bottom w:val="single" w:sz="6" w:space="0" w:color="000000"/>
            </w:tcBorders>
            <w:vAlign w:val="center"/>
          </w:tcPr>
          <w:p w14:paraId="32ECB4BF"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2014</w:t>
            </w:r>
          </w:p>
        </w:tc>
        <w:tc>
          <w:tcPr>
            <w:tcW w:w="2410" w:type="dxa"/>
            <w:gridSpan w:val="2"/>
            <w:tcBorders>
              <w:bottom w:val="single" w:sz="6" w:space="0" w:color="000000"/>
            </w:tcBorders>
            <w:vAlign w:val="center"/>
          </w:tcPr>
          <w:p w14:paraId="3DDEDE20"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2015</w:t>
            </w:r>
          </w:p>
        </w:tc>
        <w:tc>
          <w:tcPr>
            <w:tcW w:w="2410" w:type="dxa"/>
            <w:gridSpan w:val="2"/>
            <w:tcBorders>
              <w:bottom w:val="single" w:sz="6" w:space="0" w:color="000000"/>
            </w:tcBorders>
            <w:vAlign w:val="center"/>
          </w:tcPr>
          <w:p w14:paraId="29FC4A31"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2016</w:t>
            </w:r>
          </w:p>
        </w:tc>
      </w:tr>
      <w:tr w:rsidR="00A60CDE" w:rsidRPr="00F76356" w14:paraId="2E888B58" w14:textId="77777777" w:rsidTr="00D87BDA">
        <w:trPr>
          <w:trHeight w:val="20"/>
        </w:trPr>
        <w:tc>
          <w:tcPr>
            <w:tcW w:w="1534" w:type="dxa"/>
            <w:vMerge/>
            <w:tcBorders>
              <w:top w:val="nil"/>
            </w:tcBorders>
            <w:vAlign w:val="center"/>
          </w:tcPr>
          <w:p w14:paraId="5EBEA02A" w14:textId="77777777" w:rsidR="007E055C" w:rsidRPr="00F76356" w:rsidRDefault="007E055C" w:rsidP="00D87BDA">
            <w:pPr>
              <w:spacing w:before="40" w:after="40" w:line="240" w:lineRule="auto"/>
              <w:ind w:left="0" w:firstLine="0"/>
              <w:jc w:val="center"/>
              <w:rPr>
                <w:rFonts w:ascii="Times New Roman" w:hAnsi="Times New Roman" w:cs="Times New Roman"/>
                <w:b/>
                <w:sz w:val="26"/>
                <w:szCs w:val="26"/>
              </w:rPr>
            </w:pPr>
          </w:p>
        </w:tc>
        <w:tc>
          <w:tcPr>
            <w:tcW w:w="1197" w:type="dxa"/>
            <w:tcBorders>
              <w:top w:val="single" w:sz="6" w:space="0" w:color="000000"/>
            </w:tcBorders>
            <w:vAlign w:val="center"/>
          </w:tcPr>
          <w:p w14:paraId="5213597A"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Quy mô</w:t>
            </w:r>
          </w:p>
        </w:tc>
        <w:tc>
          <w:tcPr>
            <w:tcW w:w="1238" w:type="dxa"/>
            <w:tcBorders>
              <w:top w:val="single" w:sz="6" w:space="0" w:color="000000"/>
            </w:tcBorders>
            <w:vAlign w:val="center"/>
          </w:tcPr>
          <w:p w14:paraId="3670C4C4" w14:textId="00B93FD4" w:rsidR="007E055C" w:rsidRPr="00F76356" w:rsidRDefault="007E055C" w:rsidP="00D87BDA">
            <w:pPr>
              <w:pStyle w:val="TableParagraph"/>
              <w:spacing w:before="40" w:after="40"/>
              <w:ind w:left="0" w:firstLine="0"/>
              <w:jc w:val="center"/>
              <w:rPr>
                <w:b/>
                <w:sz w:val="26"/>
                <w:szCs w:val="26"/>
              </w:rPr>
            </w:pPr>
            <w:r w:rsidRPr="00F76356">
              <w:rPr>
                <w:b/>
                <w:sz w:val="26"/>
                <w:szCs w:val="26"/>
              </w:rPr>
              <w:t>Tỷ</w:t>
            </w:r>
            <w:r w:rsidR="00D87BDA" w:rsidRPr="00F76356">
              <w:rPr>
                <w:b/>
                <w:sz w:val="26"/>
                <w:szCs w:val="26"/>
                <w:lang w:val="en-US"/>
              </w:rPr>
              <w:t xml:space="preserve"> </w:t>
            </w:r>
            <w:r w:rsidRPr="00F76356">
              <w:rPr>
                <w:b/>
                <w:sz w:val="26"/>
                <w:szCs w:val="26"/>
              </w:rPr>
              <w:t>trọng</w:t>
            </w:r>
          </w:p>
        </w:tc>
        <w:tc>
          <w:tcPr>
            <w:tcW w:w="1070" w:type="dxa"/>
            <w:tcBorders>
              <w:top w:val="single" w:sz="6" w:space="0" w:color="000000"/>
            </w:tcBorders>
            <w:vAlign w:val="center"/>
          </w:tcPr>
          <w:p w14:paraId="1F39543E" w14:textId="77777777" w:rsidR="007E055C" w:rsidRPr="00F76356" w:rsidRDefault="007E055C" w:rsidP="00D87BDA">
            <w:pPr>
              <w:pStyle w:val="TableParagraph"/>
              <w:spacing w:before="40" w:after="40"/>
              <w:ind w:left="0" w:firstLine="0"/>
              <w:jc w:val="center"/>
              <w:rPr>
                <w:b/>
                <w:sz w:val="26"/>
                <w:szCs w:val="26"/>
              </w:rPr>
            </w:pPr>
            <w:r w:rsidRPr="00F76356">
              <w:rPr>
                <w:b/>
                <w:sz w:val="26"/>
                <w:szCs w:val="26"/>
              </w:rPr>
              <w:t>Quy mô</w:t>
            </w:r>
          </w:p>
        </w:tc>
        <w:tc>
          <w:tcPr>
            <w:tcW w:w="1340" w:type="dxa"/>
            <w:tcBorders>
              <w:top w:val="single" w:sz="6" w:space="0" w:color="000000"/>
            </w:tcBorders>
            <w:vAlign w:val="center"/>
          </w:tcPr>
          <w:p w14:paraId="3C965FB4" w14:textId="574CDC63" w:rsidR="007E055C" w:rsidRPr="00F76356" w:rsidRDefault="007E055C" w:rsidP="00D87BDA">
            <w:pPr>
              <w:pStyle w:val="TableParagraph"/>
              <w:spacing w:before="40" w:after="40"/>
              <w:ind w:left="0" w:firstLine="0"/>
              <w:jc w:val="center"/>
              <w:rPr>
                <w:b/>
                <w:sz w:val="26"/>
                <w:szCs w:val="26"/>
              </w:rPr>
            </w:pPr>
            <w:r w:rsidRPr="00F76356">
              <w:rPr>
                <w:b/>
                <w:sz w:val="26"/>
                <w:szCs w:val="26"/>
              </w:rPr>
              <w:t>Tỷ</w:t>
            </w:r>
            <w:r w:rsidR="00D87BDA" w:rsidRPr="00F76356">
              <w:rPr>
                <w:b/>
                <w:sz w:val="26"/>
                <w:szCs w:val="26"/>
                <w:lang w:val="en-US"/>
              </w:rPr>
              <w:t xml:space="preserve"> </w:t>
            </w:r>
            <w:r w:rsidRPr="00F76356">
              <w:rPr>
                <w:b/>
                <w:sz w:val="26"/>
                <w:szCs w:val="26"/>
              </w:rPr>
              <w:t>trọng</w:t>
            </w:r>
          </w:p>
        </w:tc>
        <w:tc>
          <w:tcPr>
            <w:tcW w:w="1169" w:type="dxa"/>
            <w:tcBorders>
              <w:top w:val="single" w:sz="6" w:space="0" w:color="000000"/>
            </w:tcBorders>
            <w:vAlign w:val="center"/>
          </w:tcPr>
          <w:p w14:paraId="6FE241D9" w14:textId="7B0F3ACB" w:rsidR="007E055C" w:rsidRPr="00F76356" w:rsidRDefault="00DC35A1" w:rsidP="00D87BDA">
            <w:pPr>
              <w:pStyle w:val="TableParagraph"/>
              <w:spacing w:before="40" w:after="40"/>
              <w:ind w:left="0" w:firstLine="0"/>
              <w:jc w:val="center"/>
              <w:rPr>
                <w:b/>
                <w:sz w:val="26"/>
                <w:szCs w:val="26"/>
                <w:lang w:val="en-US"/>
              </w:rPr>
            </w:pPr>
            <w:r w:rsidRPr="00F76356">
              <w:rPr>
                <w:b/>
                <w:sz w:val="26"/>
                <w:szCs w:val="26"/>
                <w:lang w:val="en-US"/>
              </w:rPr>
              <w:t>Quy mô</w:t>
            </w:r>
          </w:p>
        </w:tc>
        <w:tc>
          <w:tcPr>
            <w:tcW w:w="1241" w:type="dxa"/>
            <w:tcBorders>
              <w:top w:val="single" w:sz="6" w:space="0" w:color="000000"/>
            </w:tcBorders>
            <w:vAlign w:val="center"/>
          </w:tcPr>
          <w:p w14:paraId="1A684E17" w14:textId="6826F84D" w:rsidR="007E055C" w:rsidRPr="00F76356" w:rsidRDefault="007E055C" w:rsidP="00D87BDA">
            <w:pPr>
              <w:pStyle w:val="TableParagraph"/>
              <w:spacing w:before="40" w:after="40"/>
              <w:ind w:left="0" w:firstLine="0"/>
              <w:jc w:val="center"/>
              <w:rPr>
                <w:b/>
                <w:sz w:val="26"/>
                <w:szCs w:val="26"/>
              </w:rPr>
            </w:pPr>
            <w:r w:rsidRPr="00F76356">
              <w:rPr>
                <w:b/>
                <w:sz w:val="26"/>
                <w:szCs w:val="26"/>
              </w:rPr>
              <w:t>Tỷ</w:t>
            </w:r>
            <w:r w:rsidR="00D87BDA" w:rsidRPr="00F76356">
              <w:rPr>
                <w:b/>
                <w:sz w:val="26"/>
                <w:szCs w:val="26"/>
                <w:lang w:val="en-US"/>
              </w:rPr>
              <w:t xml:space="preserve"> </w:t>
            </w:r>
            <w:r w:rsidRPr="00F76356">
              <w:rPr>
                <w:b/>
                <w:sz w:val="26"/>
                <w:szCs w:val="26"/>
              </w:rPr>
              <w:t>trọng</w:t>
            </w:r>
          </w:p>
        </w:tc>
      </w:tr>
      <w:tr w:rsidR="00A60CDE" w:rsidRPr="00F76356" w14:paraId="65872D88" w14:textId="77777777" w:rsidTr="00D87BDA">
        <w:trPr>
          <w:trHeight w:val="20"/>
        </w:trPr>
        <w:tc>
          <w:tcPr>
            <w:tcW w:w="1534" w:type="dxa"/>
            <w:vAlign w:val="center"/>
          </w:tcPr>
          <w:p w14:paraId="47567148"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Tiêu dùng</w:t>
            </w:r>
          </w:p>
        </w:tc>
        <w:tc>
          <w:tcPr>
            <w:tcW w:w="1197" w:type="dxa"/>
            <w:vAlign w:val="center"/>
          </w:tcPr>
          <w:p w14:paraId="5A44A77A"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14.3</w:t>
            </w:r>
          </w:p>
        </w:tc>
        <w:tc>
          <w:tcPr>
            <w:tcW w:w="1238" w:type="dxa"/>
            <w:vAlign w:val="center"/>
          </w:tcPr>
          <w:p w14:paraId="16D9E8BC"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59%</w:t>
            </w:r>
          </w:p>
        </w:tc>
        <w:tc>
          <w:tcPr>
            <w:tcW w:w="1070" w:type="dxa"/>
            <w:vAlign w:val="center"/>
          </w:tcPr>
          <w:p w14:paraId="40C23FFA"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52.44</w:t>
            </w:r>
          </w:p>
        </w:tc>
        <w:tc>
          <w:tcPr>
            <w:tcW w:w="1340" w:type="dxa"/>
            <w:vAlign w:val="center"/>
          </w:tcPr>
          <w:p w14:paraId="771D1ED4" w14:textId="6B694BE3" w:rsidR="007E055C" w:rsidRPr="00F76356" w:rsidRDefault="007E055C" w:rsidP="00D87BDA">
            <w:pPr>
              <w:pStyle w:val="TableParagraph"/>
              <w:spacing w:before="40" w:after="40"/>
              <w:ind w:left="0" w:firstLine="0"/>
              <w:jc w:val="center"/>
              <w:rPr>
                <w:sz w:val="26"/>
                <w:szCs w:val="26"/>
              </w:rPr>
            </w:pPr>
          </w:p>
        </w:tc>
        <w:tc>
          <w:tcPr>
            <w:tcW w:w="1169" w:type="dxa"/>
            <w:vAlign w:val="center"/>
          </w:tcPr>
          <w:p w14:paraId="33349005" w14:textId="3FE60203" w:rsidR="007E055C" w:rsidRPr="00F76356" w:rsidRDefault="007E055C" w:rsidP="00D87BDA">
            <w:pPr>
              <w:pStyle w:val="TableParagraph"/>
              <w:spacing w:before="40" w:after="40"/>
              <w:ind w:left="0" w:firstLine="0"/>
              <w:jc w:val="center"/>
              <w:rPr>
                <w:sz w:val="26"/>
                <w:szCs w:val="26"/>
              </w:rPr>
            </w:pPr>
          </w:p>
        </w:tc>
        <w:tc>
          <w:tcPr>
            <w:tcW w:w="1241" w:type="dxa"/>
            <w:vAlign w:val="center"/>
          </w:tcPr>
          <w:p w14:paraId="0285E3F7" w14:textId="06C85C13" w:rsidR="007E055C" w:rsidRPr="00F76356" w:rsidRDefault="007E055C" w:rsidP="00D87BDA">
            <w:pPr>
              <w:pStyle w:val="TableParagraph"/>
              <w:spacing w:before="40" w:after="40"/>
              <w:ind w:left="0" w:firstLine="0"/>
              <w:jc w:val="center"/>
              <w:rPr>
                <w:sz w:val="26"/>
                <w:szCs w:val="26"/>
              </w:rPr>
            </w:pPr>
            <w:r w:rsidRPr="00F76356">
              <w:rPr>
                <w:w w:val="95"/>
                <w:sz w:val="26"/>
                <w:szCs w:val="26"/>
              </w:rPr>
              <w:t>%</w:t>
            </w:r>
          </w:p>
        </w:tc>
      </w:tr>
      <w:tr w:rsidR="00A60CDE" w:rsidRPr="00F76356" w14:paraId="1E5895BC" w14:textId="77777777" w:rsidTr="00D87BDA">
        <w:trPr>
          <w:trHeight w:val="20"/>
        </w:trPr>
        <w:tc>
          <w:tcPr>
            <w:tcW w:w="1534" w:type="dxa"/>
            <w:vAlign w:val="center"/>
          </w:tcPr>
          <w:p w14:paraId="0DEA9A18" w14:textId="1BC6F598" w:rsidR="007E055C" w:rsidRPr="00F76356" w:rsidRDefault="00A60CDE" w:rsidP="00D87BDA">
            <w:pPr>
              <w:pStyle w:val="TableParagraph"/>
              <w:spacing w:before="40" w:after="40"/>
              <w:ind w:left="0" w:firstLine="0"/>
              <w:jc w:val="center"/>
              <w:rPr>
                <w:sz w:val="26"/>
                <w:szCs w:val="26"/>
              </w:rPr>
            </w:pPr>
            <w:r w:rsidRPr="00F76356">
              <w:rPr>
                <w:sz w:val="26"/>
                <w:szCs w:val="26"/>
                <w:lang w:val="en-US"/>
              </w:rPr>
              <w:t>Thương</w:t>
            </w:r>
            <w:r w:rsidR="007E055C" w:rsidRPr="00F76356">
              <w:rPr>
                <w:sz w:val="26"/>
                <w:szCs w:val="26"/>
              </w:rPr>
              <w:t xml:space="preserve"> mại</w:t>
            </w:r>
          </w:p>
        </w:tc>
        <w:tc>
          <w:tcPr>
            <w:tcW w:w="1197" w:type="dxa"/>
            <w:vAlign w:val="center"/>
          </w:tcPr>
          <w:p w14:paraId="7C265379"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8.04</w:t>
            </w:r>
          </w:p>
        </w:tc>
        <w:tc>
          <w:tcPr>
            <w:tcW w:w="1238" w:type="dxa"/>
            <w:vAlign w:val="center"/>
          </w:tcPr>
          <w:p w14:paraId="655D311B"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33%</w:t>
            </w:r>
          </w:p>
        </w:tc>
        <w:tc>
          <w:tcPr>
            <w:tcW w:w="1070" w:type="dxa"/>
            <w:vAlign w:val="center"/>
          </w:tcPr>
          <w:p w14:paraId="4331C53B"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39.63</w:t>
            </w:r>
          </w:p>
        </w:tc>
        <w:tc>
          <w:tcPr>
            <w:tcW w:w="1340" w:type="dxa"/>
            <w:vAlign w:val="center"/>
          </w:tcPr>
          <w:p w14:paraId="67683BE7" w14:textId="159D81CD" w:rsidR="007E055C" w:rsidRPr="00F76356" w:rsidRDefault="007E055C" w:rsidP="00D87BDA">
            <w:pPr>
              <w:pStyle w:val="TableParagraph"/>
              <w:spacing w:before="40" w:after="40"/>
              <w:ind w:left="0" w:firstLine="0"/>
              <w:jc w:val="center"/>
              <w:rPr>
                <w:sz w:val="26"/>
                <w:szCs w:val="26"/>
              </w:rPr>
            </w:pPr>
          </w:p>
        </w:tc>
        <w:tc>
          <w:tcPr>
            <w:tcW w:w="1169" w:type="dxa"/>
            <w:vAlign w:val="center"/>
          </w:tcPr>
          <w:p w14:paraId="24CEF419"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58.18</w:t>
            </w:r>
          </w:p>
        </w:tc>
        <w:tc>
          <w:tcPr>
            <w:tcW w:w="1241" w:type="dxa"/>
            <w:vAlign w:val="center"/>
          </w:tcPr>
          <w:p w14:paraId="32771B21" w14:textId="6C28635F" w:rsidR="007E055C" w:rsidRPr="00F76356" w:rsidRDefault="007E055C" w:rsidP="00D87BDA">
            <w:pPr>
              <w:pStyle w:val="TableParagraph"/>
              <w:spacing w:before="40" w:after="40"/>
              <w:ind w:left="0" w:firstLine="0"/>
              <w:jc w:val="center"/>
              <w:rPr>
                <w:sz w:val="26"/>
                <w:szCs w:val="26"/>
              </w:rPr>
            </w:pPr>
          </w:p>
        </w:tc>
      </w:tr>
      <w:tr w:rsidR="00A60CDE" w:rsidRPr="00F76356" w14:paraId="29FACD48" w14:textId="77777777" w:rsidTr="00D87BDA">
        <w:trPr>
          <w:trHeight w:val="20"/>
        </w:trPr>
        <w:tc>
          <w:tcPr>
            <w:tcW w:w="1534" w:type="dxa"/>
            <w:vAlign w:val="center"/>
          </w:tcPr>
          <w:p w14:paraId="4775117B"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Bđs</w:t>
            </w:r>
          </w:p>
        </w:tc>
        <w:tc>
          <w:tcPr>
            <w:tcW w:w="1197" w:type="dxa"/>
            <w:vAlign w:val="center"/>
          </w:tcPr>
          <w:p w14:paraId="712C80C2"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1.84</w:t>
            </w:r>
          </w:p>
        </w:tc>
        <w:tc>
          <w:tcPr>
            <w:tcW w:w="1238" w:type="dxa"/>
            <w:vAlign w:val="center"/>
          </w:tcPr>
          <w:p w14:paraId="535493F4"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8%</w:t>
            </w:r>
          </w:p>
        </w:tc>
        <w:tc>
          <w:tcPr>
            <w:tcW w:w="1070" w:type="dxa"/>
            <w:vAlign w:val="center"/>
          </w:tcPr>
          <w:p w14:paraId="6EBCCCAF"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5.51</w:t>
            </w:r>
          </w:p>
        </w:tc>
        <w:tc>
          <w:tcPr>
            <w:tcW w:w="1340" w:type="dxa"/>
            <w:vAlign w:val="center"/>
          </w:tcPr>
          <w:p w14:paraId="5C0535A2"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6%</w:t>
            </w:r>
          </w:p>
        </w:tc>
        <w:tc>
          <w:tcPr>
            <w:tcW w:w="1169" w:type="dxa"/>
            <w:vAlign w:val="center"/>
          </w:tcPr>
          <w:p w14:paraId="4EE75C98"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7.04</w:t>
            </w:r>
          </w:p>
        </w:tc>
        <w:tc>
          <w:tcPr>
            <w:tcW w:w="1241" w:type="dxa"/>
            <w:vAlign w:val="center"/>
          </w:tcPr>
          <w:p w14:paraId="1CD81DC5"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3%</w:t>
            </w:r>
          </w:p>
        </w:tc>
      </w:tr>
      <w:tr w:rsidR="00A60CDE" w:rsidRPr="00F76356" w14:paraId="6B4F54FA" w14:textId="77777777" w:rsidTr="00D87BDA">
        <w:trPr>
          <w:trHeight w:val="20"/>
        </w:trPr>
        <w:tc>
          <w:tcPr>
            <w:tcW w:w="1534" w:type="dxa"/>
            <w:vAlign w:val="center"/>
          </w:tcPr>
          <w:p w14:paraId="15A21E46"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Tổng</w:t>
            </w:r>
          </w:p>
        </w:tc>
        <w:tc>
          <w:tcPr>
            <w:tcW w:w="1197" w:type="dxa"/>
            <w:vAlign w:val="center"/>
          </w:tcPr>
          <w:p w14:paraId="0770121D"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24.18</w:t>
            </w:r>
          </w:p>
        </w:tc>
        <w:tc>
          <w:tcPr>
            <w:tcW w:w="1238" w:type="dxa"/>
            <w:vAlign w:val="center"/>
          </w:tcPr>
          <w:p w14:paraId="71739C3A"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100%</w:t>
            </w:r>
          </w:p>
        </w:tc>
        <w:tc>
          <w:tcPr>
            <w:tcW w:w="1070" w:type="dxa"/>
            <w:vAlign w:val="center"/>
          </w:tcPr>
          <w:p w14:paraId="7B3D5806" w14:textId="77777777" w:rsidR="007E055C" w:rsidRPr="00F76356" w:rsidRDefault="007E055C" w:rsidP="00D87BDA">
            <w:pPr>
              <w:pStyle w:val="TableParagraph"/>
              <w:spacing w:before="40" w:after="40"/>
              <w:ind w:left="0" w:firstLine="0"/>
              <w:jc w:val="center"/>
              <w:rPr>
                <w:sz w:val="26"/>
                <w:szCs w:val="26"/>
              </w:rPr>
            </w:pPr>
            <w:r w:rsidRPr="00F76356">
              <w:rPr>
                <w:sz w:val="26"/>
                <w:szCs w:val="26"/>
              </w:rPr>
              <w:t>97.58</w:t>
            </w:r>
          </w:p>
        </w:tc>
        <w:tc>
          <w:tcPr>
            <w:tcW w:w="1340" w:type="dxa"/>
            <w:vAlign w:val="center"/>
          </w:tcPr>
          <w:p w14:paraId="7B66E13A" w14:textId="335B4D67" w:rsidR="007E055C" w:rsidRPr="00F76356" w:rsidRDefault="007E055C" w:rsidP="00D87BDA">
            <w:pPr>
              <w:pStyle w:val="TableParagraph"/>
              <w:spacing w:before="40" w:after="40"/>
              <w:ind w:left="0" w:firstLine="0"/>
              <w:jc w:val="center"/>
              <w:rPr>
                <w:sz w:val="26"/>
                <w:szCs w:val="26"/>
              </w:rPr>
            </w:pPr>
          </w:p>
        </w:tc>
        <w:tc>
          <w:tcPr>
            <w:tcW w:w="1169" w:type="dxa"/>
            <w:vAlign w:val="center"/>
          </w:tcPr>
          <w:p w14:paraId="34DB626F" w14:textId="001EC77B" w:rsidR="007E055C" w:rsidRPr="00F76356" w:rsidRDefault="007E055C" w:rsidP="00D87BDA">
            <w:pPr>
              <w:pStyle w:val="TableParagraph"/>
              <w:spacing w:before="40" w:after="40"/>
              <w:ind w:left="0" w:firstLine="0"/>
              <w:jc w:val="center"/>
              <w:rPr>
                <w:sz w:val="26"/>
                <w:szCs w:val="26"/>
              </w:rPr>
            </w:pPr>
          </w:p>
        </w:tc>
        <w:tc>
          <w:tcPr>
            <w:tcW w:w="1241" w:type="dxa"/>
            <w:vAlign w:val="center"/>
          </w:tcPr>
          <w:p w14:paraId="5F5C199C" w14:textId="31F88FD2" w:rsidR="007E055C" w:rsidRPr="00F76356" w:rsidRDefault="007E055C" w:rsidP="00D87BDA">
            <w:pPr>
              <w:pStyle w:val="TableParagraph"/>
              <w:spacing w:before="40" w:after="40"/>
              <w:ind w:left="0" w:firstLine="0"/>
              <w:jc w:val="center"/>
              <w:rPr>
                <w:sz w:val="26"/>
                <w:szCs w:val="26"/>
              </w:rPr>
            </w:pPr>
            <w:r w:rsidRPr="00F76356">
              <w:rPr>
                <w:w w:val="95"/>
                <w:sz w:val="26"/>
                <w:szCs w:val="26"/>
              </w:rPr>
              <w:t>%</w:t>
            </w:r>
          </w:p>
        </w:tc>
      </w:tr>
    </w:tbl>
    <w:p w14:paraId="5D7BFCD2" w14:textId="77777777" w:rsidR="007E055C" w:rsidRPr="00F76356" w:rsidRDefault="007E055C" w:rsidP="00DA5916">
      <w:pPr>
        <w:pStyle w:val="0NGUON"/>
        <w:rPr>
          <w:rFonts w:cs="Times New Roman"/>
        </w:rPr>
      </w:pPr>
      <w:r w:rsidRPr="00F76356">
        <w:rPr>
          <w:rFonts w:cs="Times New Roman"/>
        </w:rPr>
        <w:t>Nguồn: Báo cáo Tài chính Thay thế khu vực Châu Á Thái Bình Dương lần 2</w:t>
      </w:r>
    </w:p>
    <w:p w14:paraId="0296DFD6" w14:textId="77777777" w:rsidR="007E055C" w:rsidRPr="00F76356" w:rsidRDefault="007E055C" w:rsidP="00A60CDE">
      <w:pPr>
        <w:pStyle w:val="0NOIDUNG"/>
        <w:rPr>
          <w:rFonts w:cs="Times New Roman"/>
          <w:spacing w:val="-3"/>
        </w:rPr>
      </w:pPr>
      <w:r w:rsidRPr="00F76356">
        <w:rPr>
          <w:rFonts w:cs="Times New Roman"/>
        </w:rPr>
        <w:lastRenderedPageBreak/>
        <w:t>Như</w:t>
      </w:r>
      <w:r w:rsidRPr="00F76356">
        <w:rPr>
          <w:rFonts w:cs="Times New Roman"/>
          <w:spacing w:val="-16"/>
        </w:rPr>
        <w:t xml:space="preserve"> </w:t>
      </w:r>
      <w:r w:rsidRPr="00F76356">
        <w:rPr>
          <w:rFonts w:cs="Times New Roman"/>
          <w:spacing w:val="-3"/>
        </w:rPr>
        <w:t>vậy,</w:t>
      </w:r>
      <w:r w:rsidRPr="00F76356">
        <w:rPr>
          <w:rFonts w:cs="Times New Roman"/>
          <w:spacing w:val="-17"/>
        </w:rPr>
        <w:t xml:space="preserve"> </w:t>
      </w:r>
      <w:r w:rsidRPr="00F76356">
        <w:rPr>
          <w:rFonts w:cs="Times New Roman"/>
        </w:rPr>
        <w:t>các</w:t>
      </w:r>
      <w:r w:rsidRPr="00F76356">
        <w:rPr>
          <w:rFonts w:cs="Times New Roman"/>
          <w:spacing w:val="-17"/>
        </w:rPr>
        <w:t xml:space="preserve"> </w:t>
      </w:r>
      <w:r w:rsidRPr="00F76356">
        <w:rPr>
          <w:rFonts w:cs="Times New Roman"/>
          <w:spacing w:val="-3"/>
        </w:rPr>
        <w:t>lĩnh</w:t>
      </w:r>
      <w:r w:rsidRPr="00F76356">
        <w:rPr>
          <w:rFonts w:cs="Times New Roman"/>
          <w:spacing w:val="-16"/>
        </w:rPr>
        <w:t xml:space="preserve"> </w:t>
      </w:r>
      <w:r w:rsidRPr="00F76356">
        <w:rPr>
          <w:rFonts w:cs="Times New Roman"/>
        </w:rPr>
        <w:t>vực</w:t>
      </w:r>
      <w:r w:rsidRPr="00F76356">
        <w:rPr>
          <w:rFonts w:cs="Times New Roman"/>
          <w:spacing w:val="-17"/>
        </w:rPr>
        <w:t xml:space="preserve"> </w:t>
      </w:r>
      <w:r w:rsidRPr="00F76356">
        <w:rPr>
          <w:rFonts w:cs="Times New Roman"/>
        </w:rPr>
        <w:t>được</w:t>
      </w:r>
      <w:r w:rsidRPr="00F76356">
        <w:rPr>
          <w:rFonts w:cs="Times New Roman"/>
          <w:spacing w:val="-18"/>
        </w:rPr>
        <w:t xml:space="preserve"> </w:t>
      </w:r>
      <w:r w:rsidRPr="00F76356">
        <w:rPr>
          <w:rFonts w:cs="Times New Roman"/>
        </w:rPr>
        <w:t>tài</w:t>
      </w:r>
      <w:r w:rsidRPr="00F76356">
        <w:rPr>
          <w:rFonts w:cs="Times New Roman"/>
          <w:spacing w:val="-17"/>
        </w:rPr>
        <w:t xml:space="preserve"> </w:t>
      </w:r>
      <w:r w:rsidRPr="00F76356">
        <w:rPr>
          <w:rFonts w:cs="Times New Roman"/>
        </w:rPr>
        <w:t>trợ</w:t>
      </w:r>
      <w:r w:rsidRPr="00F76356">
        <w:rPr>
          <w:rFonts w:cs="Times New Roman"/>
          <w:spacing w:val="-16"/>
        </w:rPr>
        <w:t xml:space="preserve"> </w:t>
      </w:r>
      <w:r w:rsidRPr="00F76356">
        <w:rPr>
          <w:rFonts w:cs="Times New Roman"/>
        </w:rPr>
        <w:t>nhiều</w:t>
      </w:r>
      <w:r w:rsidRPr="00F76356">
        <w:rPr>
          <w:rFonts w:cs="Times New Roman"/>
          <w:spacing w:val="-19"/>
        </w:rPr>
        <w:t xml:space="preserve"> </w:t>
      </w:r>
      <w:r w:rsidRPr="00F76356">
        <w:rPr>
          <w:rFonts w:cs="Times New Roman"/>
        </w:rPr>
        <w:t>nhất</w:t>
      </w:r>
      <w:r w:rsidRPr="00F76356">
        <w:rPr>
          <w:rFonts w:cs="Times New Roman"/>
          <w:spacing w:val="-16"/>
        </w:rPr>
        <w:t xml:space="preserve"> </w:t>
      </w:r>
      <w:r w:rsidRPr="00F76356">
        <w:rPr>
          <w:rFonts w:cs="Times New Roman"/>
        </w:rPr>
        <w:t>từ</w:t>
      </w:r>
      <w:r w:rsidRPr="00F76356">
        <w:rPr>
          <w:rFonts w:cs="Times New Roman"/>
          <w:spacing w:val="-18"/>
        </w:rPr>
        <w:t xml:space="preserve"> </w:t>
      </w:r>
      <w:r w:rsidRPr="00F76356">
        <w:rPr>
          <w:rFonts w:cs="Times New Roman"/>
        </w:rPr>
        <w:t>nguồn</w:t>
      </w:r>
      <w:r w:rsidRPr="00F76356">
        <w:rPr>
          <w:rFonts w:cs="Times New Roman"/>
          <w:spacing w:val="-16"/>
        </w:rPr>
        <w:t xml:space="preserve"> </w:t>
      </w:r>
      <w:r w:rsidRPr="00F76356">
        <w:rPr>
          <w:rFonts w:cs="Times New Roman"/>
        </w:rPr>
        <w:t>vốn</w:t>
      </w:r>
      <w:r w:rsidRPr="00F76356">
        <w:rPr>
          <w:rFonts w:cs="Times New Roman"/>
          <w:spacing w:val="-17"/>
        </w:rPr>
        <w:t xml:space="preserve"> </w:t>
      </w:r>
      <w:r w:rsidRPr="00F76356">
        <w:rPr>
          <w:rFonts w:cs="Times New Roman"/>
        </w:rPr>
        <w:t xml:space="preserve">cho vay ngang hàng </w:t>
      </w:r>
      <w:r w:rsidRPr="00F76356">
        <w:rPr>
          <w:rFonts w:cs="Times New Roman"/>
          <w:spacing w:val="-17"/>
        </w:rPr>
        <w:t xml:space="preserve"> </w:t>
      </w:r>
      <w:r w:rsidRPr="00F76356">
        <w:rPr>
          <w:rFonts w:cs="Times New Roman"/>
        </w:rPr>
        <w:t>đó</w:t>
      </w:r>
      <w:r w:rsidRPr="00F76356">
        <w:rPr>
          <w:rFonts w:cs="Times New Roman"/>
          <w:spacing w:val="-16"/>
        </w:rPr>
        <w:t xml:space="preserve"> </w:t>
      </w:r>
      <w:r w:rsidRPr="00F76356">
        <w:rPr>
          <w:rFonts w:cs="Times New Roman"/>
        </w:rPr>
        <w:t>là:</w:t>
      </w:r>
      <w:r w:rsidRPr="00F76356">
        <w:rPr>
          <w:rFonts w:cs="Times New Roman"/>
          <w:spacing w:val="-17"/>
        </w:rPr>
        <w:t xml:space="preserve"> </w:t>
      </w:r>
      <w:r w:rsidRPr="00F76356">
        <w:rPr>
          <w:rFonts w:cs="Times New Roman"/>
        </w:rPr>
        <w:t>Bán</w:t>
      </w:r>
      <w:r w:rsidRPr="00F76356">
        <w:rPr>
          <w:rFonts w:cs="Times New Roman"/>
          <w:spacing w:val="-17"/>
        </w:rPr>
        <w:t xml:space="preserve"> </w:t>
      </w:r>
      <w:r w:rsidRPr="00F76356">
        <w:rPr>
          <w:rFonts w:cs="Times New Roman"/>
          <w:spacing w:val="-39"/>
        </w:rPr>
        <w:t xml:space="preserve">l ẻ  </w:t>
      </w:r>
      <w:r w:rsidRPr="00F76356">
        <w:rPr>
          <w:rFonts w:cs="Times New Roman"/>
        </w:rPr>
        <w:t>&amp;</w:t>
      </w:r>
      <w:r w:rsidRPr="00F76356">
        <w:rPr>
          <w:rFonts w:cs="Times New Roman"/>
          <w:spacing w:val="-9"/>
        </w:rPr>
        <w:t xml:space="preserve"> </w:t>
      </w:r>
      <w:r w:rsidRPr="00F76356">
        <w:rPr>
          <w:rFonts w:cs="Times New Roman"/>
        </w:rPr>
        <w:t>bán</w:t>
      </w:r>
      <w:r w:rsidRPr="00F76356">
        <w:rPr>
          <w:rFonts w:cs="Times New Roman"/>
          <w:spacing w:val="-9"/>
        </w:rPr>
        <w:t xml:space="preserve"> </w:t>
      </w:r>
      <w:r w:rsidRPr="00F76356">
        <w:rPr>
          <w:rFonts w:cs="Times New Roman"/>
        </w:rPr>
        <w:t>buôn;</w:t>
      </w:r>
      <w:r w:rsidRPr="00F76356">
        <w:rPr>
          <w:rFonts w:cs="Times New Roman"/>
          <w:spacing w:val="-8"/>
        </w:rPr>
        <w:t xml:space="preserve"> </w:t>
      </w:r>
      <w:r w:rsidRPr="00F76356">
        <w:rPr>
          <w:rFonts w:cs="Times New Roman"/>
        </w:rPr>
        <w:t>Sản</w:t>
      </w:r>
      <w:r w:rsidRPr="00F76356">
        <w:rPr>
          <w:rFonts w:cs="Times New Roman"/>
          <w:spacing w:val="-8"/>
        </w:rPr>
        <w:t xml:space="preserve"> </w:t>
      </w:r>
      <w:r w:rsidRPr="00F76356">
        <w:rPr>
          <w:rFonts w:cs="Times New Roman"/>
        </w:rPr>
        <w:t>xuất</w:t>
      </w:r>
      <w:r w:rsidRPr="00F76356">
        <w:rPr>
          <w:rFonts w:cs="Times New Roman"/>
          <w:spacing w:val="-8"/>
        </w:rPr>
        <w:t xml:space="preserve"> </w:t>
      </w:r>
      <w:r w:rsidRPr="00F76356">
        <w:rPr>
          <w:rFonts w:cs="Times New Roman"/>
        </w:rPr>
        <w:t>&amp;</w:t>
      </w:r>
      <w:r w:rsidRPr="00F76356">
        <w:rPr>
          <w:rFonts w:cs="Times New Roman"/>
          <w:spacing w:val="-9"/>
        </w:rPr>
        <w:t xml:space="preserve"> </w:t>
      </w:r>
      <w:r w:rsidRPr="00F76356">
        <w:rPr>
          <w:rFonts w:cs="Times New Roman"/>
        </w:rPr>
        <w:t>kỹ</w:t>
      </w:r>
      <w:r w:rsidRPr="00F76356">
        <w:rPr>
          <w:rFonts w:cs="Times New Roman"/>
          <w:spacing w:val="-11"/>
        </w:rPr>
        <w:t xml:space="preserve"> </w:t>
      </w:r>
      <w:r w:rsidRPr="00F76356">
        <w:rPr>
          <w:rFonts w:cs="Times New Roman"/>
        </w:rPr>
        <w:t>thuật;</w:t>
      </w:r>
      <w:r w:rsidRPr="00F76356">
        <w:rPr>
          <w:rFonts w:cs="Times New Roman"/>
          <w:spacing w:val="-7"/>
        </w:rPr>
        <w:t xml:space="preserve"> </w:t>
      </w:r>
      <w:r w:rsidRPr="00F76356">
        <w:rPr>
          <w:rFonts w:cs="Times New Roman"/>
        </w:rPr>
        <w:t>Tài</w:t>
      </w:r>
      <w:r w:rsidRPr="00F76356">
        <w:rPr>
          <w:rFonts w:cs="Times New Roman"/>
          <w:spacing w:val="-7"/>
        </w:rPr>
        <w:t xml:space="preserve"> </w:t>
      </w:r>
      <w:r w:rsidRPr="00F76356">
        <w:rPr>
          <w:rFonts w:cs="Times New Roman"/>
        </w:rPr>
        <w:t>chính;</w:t>
      </w:r>
      <w:r w:rsidRPr="00F76356">
        <w:rPr>
          <w:rFonts w:cs="Times New Roman"/>
          <w:spacing w:val="-8"/>
        </w:rPr>
        <w:t xml:space="preserve"> </w:t>
      </w:r>
      <w:r w:rsidRPr="00F76356">
        <w:rPr>
          <w:rFonts w:cs="Times New Roman"/>
          <w:spacing w:val="-3"/>
        </w:rPr>
        <w:t>Kinh</w:t>
      </w:r>
      <w:r w:rsidRPr="00F76356">
        <w:rPr>
          <w:rFonts w:cs="Times New Roman"/>
          <w:spacing w:val="-7"/>
        </w:rPr>
        <w:t xml:space="preserve"> </w:t>
      </w:r>
      <w:r w:rsidRPr="00F76356">
        <w:rPr>
          <w:rFonts w:cs="Times New Roman"/>
        </w:rPr>
        <w:t>doanh</w:t>
      </w:r>
      <w:r w:rsidRPr="00F76356">
        <w:rPr>
          <w:rFonts w:cs="Times New Roman"/>
          <w:spacing w:val="-7"/>
        </w:rPr>
        <w:t xml:space="preserve"> </w:t>
      </w:r>
      <w:r w:rsidRPr="00F76356">
        <w:rPr>
          <w:rFonts w:cs="Times New Roman"/>
        </w:rPr>
        <w:t>&amp;</w:t>
      </w:r>
      <w:r w:rsidRPr="00F76356">
        <w:rPr>
          <w:rFonts w:cs="Times New Roman"/>
          <w:spacing w:val="-9"/>
        </w:rPr>
        <w:t xml:space="preserve"> </w:t>
      </w:r>
      <w:r w:rsidRPr="00F76356">
        <w:rPr>
          <w:rFonts w:cs="Times New Roman"/>
        </w:rPr>
        <w:t>dịch</w:t>
      </w:r>
      <w:r w:rsidRPr="00F76356">
        <w:rPr>
          <w:rFonts w:cs="Times New Roman"/>
          <w:spacing w:val="-7"/>
        </w:rPr>
        <w:t xml:space="preserve"> </w:t>
      </w:r>
      <w:r w:rsidRPr="00F76356">
        <w:rPr>
          <w:rFonts w:cs="Times New Roman"/>
        </w:rPr>
        <w:t>vụ;</w:t>
      </w:r>
      <w:r w:rsidRPr="00F76356">
        <w:rPr>
          <w:rFonts w:cs="Times New Roman"/>
          <w:spacing w:val="-7"/>
        </w:rPr>
        <w:t xml:space="preserve"> </w:t>
      </w:r>
      <w:r w:rsidRPr="00F76356">
        <w:rPr>
          <w:rFonts w:cs="Times New Roman"/>
        </w:rPr>
        <w:t>Bất</w:t>
      </w:r>
      <w:r w:rsidRPr="00F76356">
        <w:rPr>
          <w:rFonts w:cs="Times New Roman"/>
          <w:spacing w:val="-7"/>
        </w:rPr>
        <w:t xml:space="preserve"> </w:t>
      </w:r>
      <w:r w:rsidRPr="00F76356">
        <w:rPr>
          <w:rFonts w:cs="Times New Roman"/>
        </w:rPr>
        <w:t>động</w:t>
      </w:r>
      <w:r w:rsidRPr="00F76356">
        <w:rPr>
          <w:rFonts w:cs="Times New Roman"/>
          <w:spacing w:val="-9"/>
        </w:rPr>
        <w:t xml:space="preserve"> </w:t>
      </w:r>
      <w:r w:rsidRPr="00F76356">
        <w:rPr>
          <w:rFonts w:cs="Times New Roman"/>
          <w:spacing w:val="-3"/>
        </w:rPr>
        <w:t>sản.</w:t>
      </w:r>
    </w:p>
    <w:p w14:paraId="6AB1E965" w14:textId="3F5BD762" w:rsidR="007E055C" w:rsidRPr="00F76356" w:rsidRDefault="00B73CC4" w:rsidP="00A60CDE">
      <w:pPr>
        <w:pStyle w:val="0NOIDUNG"/>
        <w:rPr>
          <w:rFonts w:cs="Times New Roman"/>
          <w:b/>
          <w:lang w:val="vi"/>
        </w:rPr>
      </w:pPr>
      <w:r>
        <w:rPr>
          <w:rFonts w:cs="Times New Roman"/>
          <w:b/>
        </w:rPr>
        <w:t>2.2.</w:t>
      </w:r>
      <w:r w:rsidR="00DA5916" w:rsidRPr="00F76356">
        <w:rPr>
          <w:rFonts w:cs="Times New Roman"/>
          <w:b/>
          <w:lang w:val="vi"/>
        </w:rPr>
        <w:t xml:space="preserve"> </w:t>
      </w:r>
      <w:r w:rsidR="007E055C" w:rsidRPr="00F76356">
        <w:rPr>
          <w:rFonts w:cs="Times New Roman"/>
          <w:b/>
          <w:lang w:val="vi"/>
        </w:rPr>
        <w:t>Đặc điểm và quá trình phát triển mô hình cho vay ngang hàng của một vài nước trên thế giới.</w:t>
      </w:r>
    </w:p>
    <w:p w14:paraId="4653C98B" w14:textId="77777777" w:rsidR="007E055C" w:rsidRPr="00FE4250" w:rsidRDefault="007E055C" w:rsidP="00A60CDE">
      <w:pPr>
        <w:pStyle w:val="0NOIDUNG"/>
        <w:rPr>
          <w:rFonts w:cs="Times New Roman"/>
          <w:lang w:val="vi"/>
        </w:rPr>
      </w:pPr>
      <w:r w:rsidRPr="00FE4250">
        <w:rPr>
          <w:rFonts w:cs="Times New Roman"/>
          <w:lang w:val="vi"/>
        </w:rPr>
        <w:t>Cho vay ngang hàng đã tăng trưởng với tốc độ chóng mặt trong những năm gần đây ở một số nước trên thế giới. Tại Mỹ, tốc độ tăng trưởng bình quân từ 2011 - 2015 đạt 163%/năm, châu Âu:  87,3% và Anh: 109,4%. Tại Trung Quốc, chỉ tính từ năm 2014 đến 2017, dư nợ cho vay ngang hàng đã tăng 29 lần, lên trên 1000 tỷ USD. Tính chung toàn cầu, từ 2014 đến 2017, tốc độ tăng trưởng bình quân của thị trường cho vay ngang hàng đạt xấp xỉ 120%. Cho vay ngang hàng hiện giờ chỉ chưa đến 1% so với thị trường cho vay truyền thống, song với tốc độ tăng trưởng 3 chữ số, không lâu nữa, cho vay ngang hàng sẽ đạt quy mô ấn tượng [1]. Mặc dù vậy, có một thực tế đáng chú ý là hiện nay, việc quản lý và ứng xử của chính phủ đối với hoạt động cho vay ngang hàng ở các quốc gia có sự khác biệt đáng kể. Một số nước coi tổ chức cung cấp dịch vụ này là một dạng khác của hoạt động kinh doanh ngân hàng, một số coi là tổ chức trung gian, một số thì không thừa nhận đó là hoạt động hợp pháp (tín dụng đen)...</w:t>
      </w:r>
    </w:p>
    <w:p w14:paraId="7F18AA44" w14:textId="4162A56A" w:rsidR="007E055C" w:rsidRPr="00FE4250" w:rsidRDefault="00B73CC4" w:rsidP="00DA5916">
      <w:pPr>
        <w:pStyle w:val="0LV2"/>
        <w:rPr>
          <w:rFonts w:cs="Times New Roman"/>
          <w:lang w:val="vi"/>
        </w:rPr>
      </w:pPr>
      <w:bookmarkStart w:id="16" w:name="_Toc134387169"/>
      <w:r w:rsidRPr="00FE4250">
        <w:rPr>
          <w:rFonts w:cs="Times New Roman"/>
          <w:lang w:val="vi"/>
        </w:rPr>
        <w:t>2.2.1.</w:t>
      </w:r>
      <w:r w:rsidR="00DA5916" w:rsidRPr="00FE4250">
        <w:rPr>
          <w:rFonts w:cs="Times New Roman"/>
          <w:lang w:val="vi"/>
        </w:rPr>
        <w:t xml:space="preserve"> </w:t>
      </w:r>
      <w:r w:rsidR="007E055C" w:rsidRPr="00FE4250">
        <w:rPr>
          <w:rFonts w:cs="Times New Roman"/>
          <w:lang w:val="vi"/>
        </w:rPr>
        <w:t>Anh.</w:t>
      </w:r>
      <w:bookmarkEnd w:id="16"/>
    </w:p>
    <w:p w14:paraId="7A2E76B0" w14:textId="77777777" w:rsidR="006B54B6" w:rsidRPr="00FE4250" w:rsidRDefault="007E055C" w:rsidP="00DA5916">
      <w:pPr>
        <w:pStyle w:val="0NOIDUNG"/>
        <w:rPr>
          <w:rFonts w:cs="Times New Roman"/>
          <w:lang w:val="vi"/>
        </w:rPr>
      </w:pPr>
      <w:r w:rsidRPr="00FE4250">
        <w:rPr>
          <w:rFonts w:cs="Times New Roman"/>
          <w:lang w:val="vi"/>
        </w:rPr>
        <w:t>Nước Anh được biết đến như là cái nôi của hoạt động P2P Lending với sự xuất hiện của nền tảng P2P Lending đầu tiên trên thế giới - Zopa vào năm 2005. Với sự ra đời của Zopa, nước Anh trở thành nước đầu tiên xuất hiện hoạt động P2P Lending và bắt đầu với việc tài trợ các khoản vay tín chấp cá nhân. Sau một thời gian dài hình thành và phát triển, tính đến cuối năm 2017, tại thị trường Anh có hơn 50 nền tảng P2P Lending, trong đó có 03 nền tảng lớn nhất là RateSetter, Zopa và The Funding Circle với tổng dư nợ cho vay lần lượt là 2,2; 2,9 và 3 tỷ bảng Anh. Ba ông lớn này chiếm tổng cộng 69% thị phần và còn lại 31% chia cho hơn 47 nền tảng P2P Lending khác (Nguyen, Luong and Vo, 2019).</w:t>
      </w:r>
    </w:p>
    <w:p w14:paraId="391A25EC" w14:textId="0721D0E6" w:rsidR="007E055C" w:rsidRPr="00FE4250" w:rsidRDefault="007E055C" w:rsidP="00DA5916">
      <w:pPr>
        <w:pStyle w:val="0NOIDUNG"/>
        <w:rPr>
          <w:rFonts w:cs="Times New Roman"/>
          <w:lang w:val="vi"/>
        </w:rPr>
      </w:pPr>
      <w:r w:rsidRPr="00FE4250">
        <w:rPr>
          <w:rFonts w:cs="Times New Roman"/>
          <w:lang w:val="vi"/>
        </w:rPr>
        <w:t xml:space="preserve">Thị trường P2P Lending tại Anh ban đầu chỉ nhắm đến đối tượng khách hàng cá nhân. Tuy nhiên, càng về sau, các nền tảng đã phát triển thành các tổ chức kiêm luôn việc cho vay và mở rộng đối tượng tham gia cả đối với các tổ chức là các doanh nghiệp nhỏ và vừa. Tuy tỷ trọng P2P Lending đối với khu vực này còn thấp so với các hình thức truyền </w:t>
      </w:r>
      <w:r w:rsidRPr="00FE4250">
        <w:rPr>
          <w:rFonts w:cs="Times New Roman"/>
          <w:lang w:val="vi"/>
        </w:rPr>
        <w:lastRenderedPageBreak/>
        <w:t>thống, song vẫn giữ được xu hướng tăng trưởng qua các năm xét về mức độ cạnh tranh. (Hình 5)  </w:t>
      </w:r>
    </w:p>
    <w:p w14:paraId="152A88FC" w14:textId="77777777" w:rsidR="006B54B6" w:rsidRPr="00FE4250" w:rsidRDefault="007E055C" w:rsidP="00DA5916">
      <w:pPr>
        <w:pStyle w:val="0NOIDUNG"/>
        <w:rPr>
          <w:rFonts w:cs="Times New Roman"/>
          <w:lang w:val="vi"/>
        </w:rPr>
      </w:pPr>
      <w:r w:rsidRPr="00FE4250">
        <w:rPr>
          <w:rFonts w:cs="Times New Roman"/>
          <w:lang w:val="vi"/>
        </w:rPr>
        <w:t>Năm 2014, nước Anh một lần nữa trở thành quốc gia đầu tiên trên thế giới xây dựng hệ thống các quy định luật pháp về hoạt động P2P Lending. Cơ quan Kiểm soát ngành tài chính (FCA) hiện là cơ quan quản lý chính cho ngành công nghiệp P2P Lending. Cơ quan này cùng với Cơ quan Luật lệ an toàn (PRA) là hai đơn vị được tách ra từ Cơ quan Giám sát tài chính Anh Quốc (FSA). Theo đó, các nền tảng P2P Lending phải được cấp phép hoạt động thông qua FCA mới có thể cấp tín dụng và trở thành thành viên của Trung tâm Thông tin tín dụng quốc gia (Nguyen, Luong and Vo, 2019).</w:t>
      </w:r>
    </w:p>
    <w:p w14:paraId="78638921" w14:textId="24630E21" w:rsidR="006B54B6" w:rsidRPr="00FE4250" w:rsidRDefault="007E055C" w:rsidP="00DA5916">
      <w:pPr>
        <w:pStyle w:val="0NOIDUNG"/>
        <w:rPr>
          <w:rFonts w:cs="Times New Roman"/>
          <w:lang w:val="vi"/>
        </w:rPr>
      </w:pPr>
      <w:r w:rsidRPr="00FE4250">
        <w:rPr>
          <w:rFonts w:cs="Times New Roman"/>
          <w:lang w:val="vi"/>
        </w:rPr>
        <w:t>Các quy định nổi bật về P2P Lending ở Anh được FCA đặt ra bao gồm quy định về vốn, quy trình cấp phép hoạt động, quy định giám sát thị trường, quy định bảo vệ người đi vay:</w:t>
      </w:r>
    </w:p>
    <w:p w14:paraId="556032A5" w14:textId="3B82CF9A" w:rsidR="006B54B6" w:rsidRPr="00FE4250" w:rsidRDefault="007E055C" w:rsidP="00DA5916">
      <w:pPr>
        <w:pStyle w:val="0NOIDUNG"/>
        <w:rPr>
          <w:rFonts w:cs="Times New Roman"/>
          <w:lang w:val="vi"/>
        </w:rPr>
      </w:pPr>
      <w:r w:rsidRPr="00FE4250">
        <w:rPr>
          <w:rFonts w:cs="Times New Roman"/>
          <w:lang w:val="vi"/>
        </w:rPr>
        <w:t>Quy định về vốn: Công ty P2P Lending phải có số vốn tối thiểu lớn hơn tổng số vốn tối thiểu cố định và vốn tính trên giá trị còn lại của vốn vay trên sàn. Theo quy định, từ ngày 01/4/2017, vốn tối thiểu cố định là 50.000 bảng Anh.</w:t>
      </w:r>
    </w:p>
    <w:p w14:paraId="697E7785" w14:textId="1D371080" w:rsidR="006B54B6" w:rsidRPr="00FE4250" w:rsidRDefault="007E055C" w:rsidP="00DA5916">
      <w:pPr>
        <w:pStyle w:val="0NOIDUNG"/>
        <w:rPr>
          <w:rFonts w:cs="Times New Roman"/>
          <w:lang w:val="vi"/>
        </w:rPr>
      </w:pPr>
      <w:r w:rsidRPr="00FE4250">
        <w:rPr>
          <w:rFonts w:cs="Times New Roman"/>
          <w:lang w:val="vi"/>
        </w:rPr>
        <w:t>Quy trình cấp phép hoạt động: Các công ty muốn thành lập và vận hành nền tảng giao dịch trực tuyến P2P Lending cần thỏa mãn các điều kiện sau: Có kế hoạch kinh doanh chi tiết và phù hợp, trong đó nêu rõ hoạt động dự kiến, rủi ro, ngân sách và nguồn lực về con người, hệ thống vốn…</w:t>
      </w:r>
    </w:p>
    <w:p w14:paraId="53F38C1A" w14:textId="6480C7EE" w:rsidR="006B54B6" w:rsidRPr="00FE4250" w:rsidRDefault="007E055C" w:rsidP="00DA5916">
      <w:pPr>
        <w:pStyle w:val="0NOIDUNG"/>
        <w:rPr>
          <w:rFonts w:cs="Times New Roman"/>
          <w:lang w:val="vi"/>
        </w:rPr>
      </w:pPr>
      <w:r w:rsidRPr="00FE4250">
        <w:rPr>
          <w:rFonts w:cs="Times New Roman"/>
          <w:lang w:val="vi"/>
        </w:rPr>
        <w:t>Giám sát thị trường: FCA theo dõi và giám sát hoạt động của các công ty P2P Lending thông qua trang web và báo cáo điều hành quản lý định kỳ hàng tháng của các công ty P2P Lending.</w:t>
      </w:r>
    </w:p>
    <w:p w14:paraId="6E1EC9B7" w14:textId="659834E7" w:rsidR="007E055C" w:rsidRPr="00FE4250" w:rsidRDefault="007E055C" w:rsidP="00DA5916">
      <w:pPr>
        <w:pStyle w:val="0NOIDUNG"/>
        <w:rPr>
          <w:rFonts w:cs="Times New Roman"/>
          <w:lang w:val="vi"/>
        </w:rPr>
      </w:pPr>
      <w:r w:rsidRPr="00FE4250">
        <w:rPr>
          <w:rFonts w:cs="Times New Roman"/>
          <w:lang w:val="vi"/>
        </w:rPr>
        <w:t> Bảo vệ người đi vay: FCA quy định công ty P2P Lending phải tuân thủ quy định về tiền của khách hàng trong việc nhận tiền của bên cho vay, nhận tiền trả nợ của bên đi vay và chuyển tiền trả cho bên cho vay.</w:t>
      </w:r>
    </w:p>
    <w:p w14:paraId="2E2D603A" w14:textId="2D95CC72" w:rsidR="007E055C" w:rsidRPr="00FE4250" w:rsidRDefault="00B73CC4" w:rsidP="00DA5916">
      <w:pPr>
        <w:pStyle w:val="0LV2"/>
        <w:rPr>
          <w:rFonts w:cs="Times New Roman"/>
          <w:lang w:val="vi"/>
        </w:rPr>
      </w:pPr>
      <w:bookmarkStart w:id="17" w:name="_Toc134387170"/>
      <w:r w:rsidRPr="00FE4250">
        <w:rPr>
          <w:rFonts w:cs="Times New Roman"/>
          <w:lang w:val="vi"/>
        </w:rPr>
        <w:t>2.2.2.</w:t>
      </w:r>
      <w:r w:rsidR="00DA5916" w:rsidRPr="00FE4250">
        <w:rPr>
          <w:rFonts w:cs="Times New Roman"/>
          <w:lang w:val="vi"/>
        </w:rPr>
        <w:t xml:space="preserve"> </w:t>
      </w:r>
      <w:r w:rsidR="007E055C" w:rsidRPr="00FE4250">
        <w:rPr>
          <w:rFonts w:cs="Times New Roman"/>
          <w:lang w:val="vi"/>
        </w:rPr>
        <w:t>Mỹ.</w:t>
      </w:r>
      <w:bookmarkEnd w:id="17"/>
      <w:r w:rsidR="007E055C" w:rsidRPr="00FE4250">
        <w:rPr>
          <w:rFonts w:cs="Times New Roman"/>
          <w:lang w:val="vi"/>
        </w:rPr>
        <w:t xml:space="preserve"> </w:t>
      </w:r>
    </w:p>
    <w:p w14:paraId="1DD15688" w14:textId="77777777" w:rsidR="007E055C" w:rsidRPr="00FE4250" w:rsidRDefault="007E055C" w:rsidP="00DA5916">
      <w:pPr>
        <w:pStyle w:val="0NOIDUNG"/>
        <w:rPr>
          <w:rFonts w:cs="Times New Roman"/>
          <w:lang w:val="vi"/>
        </w:rPr>
      </w:pPr>
      <w:r w:rsidRPr="00FE4250">
        <w:rPr>
          <w:rFonts w:cs="Times New Roman"/>
          <w:lang w:val="vi"/>
        </w:rPr>
        <w:t xml:space="preserve">Tại Mỹ, mô hình P2P Lending đã bắt đầu xuất hiện với sự ra đời của hai công ty P2P Lending đầu tiên tại Mỹ là Prosper và Lending Club lần lượt vào năm 2006 và 2007. </w:t>
      </w:r>
      <w:r w:rsidRPr="00FE4250">
        <w:rPr>
          <w:rFonts w:cs="Times New Roman"/>
          <w:lang w:val="vi"/>
        </w:rPr>
        <w:lastRenderedPageBreak/>
        <w:t xml:space="preserve">Tính đến nay, thị trường P2P Lending tại Mỹ bước vào thời kỳ phát triển mạnh mẽ với sự tăng trưởng vượt bậc cả về khối lượng và chất lượng cho vay. </w:t>
      </w:r>
    </w:p>
    <w:p w14:paraId="0136008F" w14:textId="77777777" w:rsidR="007E055C" w:rsidRPr="00FE4250" w:rsidRDefault="007E055C" w:rsidP="00DA5916">
      <w:pPr>
        <w:pStyle w:val="0NOIDUNG"/>
        <w:rPr>
          <w:rFonts w:cs="Times New Roman"/>
          <w:lang w:val="vi"/>
        </w:rPr>
      </w:pPr>
      <w:r w:rsidRPr="00FE4250">
        <w:rPr>
          <w:rFonts w:cs="Times New Roman"/>
          <w:lang w:val="vi"/>
        </w:rPr>
        <w:t>Theo IBISWorld, từ năm 2012 đến nay, quy mô thị trường P2P Lending tại Mỹ đã phát triển đáng kể, đặc biệt trong giai đoạn 2017 - 2019. Năm 2020, do ảnh hưởng của đại dịch Covid-19 nên quy mô thị trường này có sự sụt giảm duy trì ở mức tổng quy mô trao đổi 819 triệu USD, với 17 doanh nghiệp và đã tạo ra 2.255 việc làm trên khắp đất nước. Mặc dù quy mô thị trường giảm, nhưng trong năm 2020, các nền tảng P2P Lending vẫn tiếp tục đóng vai trò quan trọng trong việc cấp vốn cho các chủ doanh nghiệp nhỏ với việc Quốc hội Mỹ mở rộng gói Chương trình Bảo vệ Tiền lương. </w:t>
      </w:r>
    </w:p>
    <w:p w14:paraId="1883B80C" w14:textId="77777777" w:rsidR="006B54B6" w:rsidRPr="00FE4250" w:rsidRDefault="007E055C" w:rsidP="00DA5916">
      <w:pPr>
        <w:pStyle w:val="0NOIDUNG"/>
        <w:rPr>
          <w:rFonts w:cs="Times New Roman"/>
          <w:lang w:val="vi"/>
        </w:rPr>
      </w:pPr>
      <w:r w:rsidRPr="00FE4250">
        <w:rPr>
          <w:rFonts w:cs="Times New Roman"/>
          <w:lang w:val="vi"/>
        </w:rPr>
        <w:t>Mô hình hoạt động của P2P tại Mỹ có thể nói là khá khác biệt so với các thị trường khác trên thế giới. Nhà cung cấp Platform chịu sự điều tiết của 2 cấp quản lý:</w:t>
      </w:r>
    </w:p>
    <w:p w14:paraId="1851798C" w14:textId="77777777" w:rsidR="006B54B6" w:rsidRPr="00FE4250" w:rsidRDefault="007E055C" w:rsidP="00DA5916">
      <w:pPr>
        <w:pStyle w:val="0NOIDUNG"/>
        <w:rPr>
          <w:rFonts w:cs="Times New Roman"/>
          <w:lang w:val="vi"/>
        </w:rPr>
      </w:pPr>
      <w:r w:rsidRPr="00FE4250">
        <w:rPr>
          <w:rFonts w:cs="Times New Roman"/>
          <w:lang w:val="vi"/>
        </w:rPr>
        <w:t>- Ở  cấp liên bang, chứng chỉ đầu tư của người cho vay được coi là một loại chứng khoán nên phải chấp hành theo tiêu chuẩn của Ủy ban Chứng khoán (SEC). Các khoản đầu tư dưới dạng cho vay phải được đăng ký theo từng khoản vay dưới sự dàn xếp của nhà cung cấp Platform. Các tổ chức cung cấp dịch vụ Platform được coi là các công ty đại chúng nên phải thực hiện chế độ báo cáo và công khai thông tin chi tiết liên quan đến các khoản đầu tư và vay mượn theo định kỳ hàng tháng. Cả ngân hàng đối tác (chịu trách nhiệm thẩm định và phát hành chứng chỉ đầu tư) và tổ chức cung cấp Platform phải tuân thủ theo các luật về kinh doanh ngân hàng, luật chuyển tiền điện tử, luật bảo mật thông tin, luật tài trợ vốn cộng đồng…</w:t>
      </w:r>
    </w:p>
    <w:p w14:paraId="590B988D" w14:textId="08B0BA31" w:rsidR="007E055C" w:rsidRPr="00FE4250" w:rsidRDefault="007E055C" w:rsidP="00DA5916">
      <w:pPr>
        <w:pStyle w:val="0NOIDUNG"/>
        <w:rPr>
          <w:rFonts w:cs="Times New Roman"/>
          <w:lang w:val="vi"/>
        </w:rPr>
      </w:pPr>
      <w:r w:rsidRPr="00FE4250">
        <w:rPr>
          <w:rFonts w:cs="Times New Roman"/>
          <w:lang w:val="vi"/>
        </w:rPr>
        <w:t>- Ở cấp bang, hiện có những ứng xử khác nhau về cho vay ngang hàng. Một số bang cấm hoạt động, một số bang cho hoạt động hạn chế (yêu cầu cao đối với người cho vay và đi vay), một số bang cho hoạt động với điều kiện tuân thủ các điều kiện quy định của liên bang hoặc một số điều kiện khác. Nếu một đơn vị cung cấp dịch vụ Platform hoạt động ở nhiều bang thì phải tuân thủ các điều kiện chung của liên bang và các điều kiện cụ thể của từng bang.</w:t>
      </w:r>
    </w:p>
    <w:p w14:paraId="17092A47" w14:textId="77777777" w:rsidR="006B54B6" w:rsidRPr="00FE4250" w:rsidRDefault="007E055C" w:rsidP="00DA5916">
      <w:pPr>
        <w:pStyle w:val="0NOIDUNG"/>
        <w:rPr>
          <w:rFonts w:cs="Times New Roman"/>
          <w:lang w:val="vi"/>
        </w:rPr>
      </w:pPr>
      <w:r w:rsidRPr="00FE4250">
        <w:rPr>
          <w:rFonts w:cs="Times New Roman"/>
          <w:lang w:val="vi"/>
        </w:rPr>
        <w:t xml:space="preserve">Do thị trường P2P Lending ở Mỹ phát triển với tốc độ nhanh, có sự liên kết chéo giữa nhà cung cấp dịch vụ P2P Lending và ngân hàng cho vay (gọi là notary model - mô hình trong đó khoản vay sẽ được cấp từ ngân hàng đối tác thay vì bản thân công ty P2P Lending), nên việc dự thảo các quy định quản lý trải qua những giai đoạn phức tạp. Từ </w:t>
      </w:r>
      <w:r w:rsidRPr="00FE4250">
        <w:rPr>
          <w:rFonts w:cs="Times New Roman"/>
          <w:lang w:val="vi"/>
        </w:rPr>
        <w:lastRenderedPageBreak/>
        <w:t>cuối năm 2015, Ủy ban Chứng khoán và Giao dịch (SEC) quyết định áp dụng các quy tắc quản lý với hoạt động huy động và tài trợ vốn cộng đồng cho hoạt động P2P Lending. Vì vậy, tại Mỹ, quản lý P2P Lending tập trung vào bốn mục chính như sau:</w:t>
      </w:r>
    </w:p>
    <w:p w14:paraId="19AFBDBE" w14:textId="66D1015C" w:rsidR="006B54B6" w:rsidRPr="00FE4250" w:rsidRDefault="007E055C" w:rsidP="00DA5916">
      <w:pPr>
        <w:pStyle w:val="0NOIDUNG"/>
        <w:rPr>
          <w:rFonts w:cs="Times New Roman"/>
          <w:lang w:val="vi"/>
        </w:rPr>
      </w:pPr>
      <w:r w:rsidRPr="00FE4250">
        <w:rPr>
          <w:rFonts w:cs="Times New Roman"/>
          <w:i/>
          <w:iCs/>
          <w:lang w:val="vi"/>
        </w:rPr>
        <w:t>Thứ nhất, </w:t>
      </w:r>
      <w:r w:rsidRPr="00FE4250">
        <w:rPr>
          <w:rFonts w:cs="Times New Roman"/>
          <w:lang w:val="vi"/>
        </w:rPr>
        <w:t>quy định về giới hạn vốn huy động. Công ty P2P Lending chỉ được huy động tối đa 1,07 triệu USD trong mỗi năm từ nhà đầu tư, trừ trường hợp đặc biệt phải được cơ quan có thẩm quyền cấp phép.</w:t>
      </w:r>
    </w:p>
    <w:p w14:paraId="021021F4" w14:textId="10896159" w:rsidR="006B54B6" w:rsidRPr="00FE4250" w:rsidRDefault="007E055C" w:rsidP="00DA5916">
      <w:pPr>
        <w:pStyle w:val="0NOIDUNG"/>
        <w:rPr>
          <w:rFonts w:cs="Times New Roman"/>
          <w:lang w:val="vi"/>
        </w:rPr>
      </w:pPr>
      <w:r w:rsidRPr="00FE4250">
        <w:rPr>
          <w:rFonts w:cs="Times New Roman"/>
          <w:i/>
          <w:iCs/>
          <w:lang w:val="vi"/>
        </w:rPr>
        <w:t>Thứ hai,</w:t>
      </w:r>
      <w:r w:rsidRPr="00FE4250">
        <w:rPr>
          <w:rFonts w:cs="Times New Roman"/>
          <w:lang w:val="vi"/>
        </w:rPr>
        <w:t> quy định về giới hạn đầu tư cá nhân. Giới hạn đầu tư của một cá nhân được tính bằng tổng các khoản đầu tư được thực hiện bởi nhà đầu tư đó trong vòng 12 tháng và không có trường hợp ngoại lệ. Giới hạn đầu tư được xác định tùy vào thu nhập hoặc tài sản ròng hàng năm của nhà đầu tư. </w:t>
      </w:r>
    </w:p>
    <w:p w14:paraId="6FF985E2" w14:textId="366326F4" w:rsidR="006B54B6" w:rsidRPr="00FE4250" w:rsidRDefault="007E055C" w:rsidP="00DA5916">
      <w:pPr>
        <w:pStyle w:val="0NOIDUNG"/>
        <w:rPr>
          <w:rFonts w:cs="Times New Roman"/>
          <w:lang w:val="vi"/>
        </w:rPr>
      </w:pPr>
      <w:r w:rsidRPr="00FE4250">
        <w:rPr>
          <w:rFonts w:cs="Times New Roman"/>
          <w:i/>
          <w:iCs/>
          <w:lang w:val="vi"/>
        </w:rPr>
        <w:t>Thứ ba, </w:t>
      </w:r>
      <w:r w:rsidRPr="00FE4250">
        <w:rPr>
          <w:rFonts w:cs="Times New Roman"/>
          <w:lang w:val="vi"/>
        </w:rPr>
        <w:t>các tiêu chuẩn cấp phép và hoạt động đối với công ty P2P Lending - tương tự như điều kiện cấp phép hoạt động đối với công ty quản lý đầu tư tại Mỹ. </w:t>
      </w:r>
    </w:p>
    <w:p w14:paraId="61DB5D19" w14:textId="14DA29FC" w:rsidR="007E055C" w:rsidRPr="00FE4250" w:rsidRDefault="007E055C" w:rsidP="00DA5916">
      <w:pPr>
        <w:pStyle w:val="0NOIDUNG"/>
        <w:rPr>
          <w:rFonts w:cs="Times New Roman"/>
          <w:lang w:val="vi"/>
        </w:rPr>
      </w:pPr>
      <w:r w:rsidRPr="00FE4250">
        <w:rPr>
          <w:rFonts w:cs="Times New Roman"/>
          <w:i/>
          <w:iCs/>
          <w:lang w:val="vi"/>
        </w:rPr>
        <w:t>Thứ tư,</w:t>
      </w:r>
      <w:r w:rsidRPr="00FE4250">
        <w:rPr>
          <w:rFonts w:cs="Times New Roman"/>
          <w:lang w:val="vi"/>
        </w:rPr>
        <w:t> các tiêu chuẩn, yêu cầu về công khai thông tin đối với các công ty P2P Lending. Để được cấp phép hoạt động, các công ty P2P Lending cần cung cấp “32 loại thông tin” ngoài các chứng từ kế toán trong 3 năm tài chính liên tiếp cho SEC và hàng năm, các công ty có trách nhiệm báo cáo tình hình hoạt động, giống như các tổ chức tín dụng khác. Ngoài ra, các công ty P2P Lending bắt buộc phát hành chứng chỉ vay nợ phải thông qua một tổ chức trung gian (platform), để đảm bảo công chúng có thể tiếp cận thông qua cổng Internet hoặc các phương tiện điện tử và tự do trao đổi thông tin về khoản vay.</w:t>
      </w:r>
    </w:p>
    <w:p w14:paraId="4806DAC5" w14:textId="4846E12E" w:rsidR="0050703D" w:rsidRPr="00FE4250" w:rsidRDefault="00B73CC4" w:rsidP="00DA5916">
      <w:pPr>
        <w:pStyle w:val="0LV2"/>
        <w:rPr>
          <w:rFonts w:cs="Times New Roman"/>
          <w:lang w:val="vi"/>
        </w:rPr>
      </w:pPr>
      <w:bookmarkStart w:id="18" w:name="_Toc134387171"/>
      <w:r w:rsidRPr="00FE4250">
        <w:rPr>
          <w:rFonts w:cs="Times New Roman"/>
          <w:lang w:val="vi"/>
        </w:rPr>
        <w:t>2.2.3.</w:t>
      </w:r>
      <w:r w:rsidR="00DA5916" w:rsidRPr="00FE4250">
        <w:rPr>
          <w:rFonts w:cs="Times New Roman"/>
          <w:lang w:val="vi"/>
        </w:rPr>
        <w:t xml:space="preserve"> </w:t>
      </w:r>
      <w:r w:rsidR="007E055C" w:rsidRPr="00FE4250">
        <w:rPr>
          <w:rFonts w:cs="Times New Roman"/>
          <w:lang w:val="vi"/>
        </w:rPr>
        <w:t xml:space="preserve">Trung </w:t>
      </w:r>
      <w:r w:rsidR="0050703D" w:rsidRPr="00FE4250">
        <w:rPr>
          <w:rFonts w:cs="Times New Roman"/>
          <w:lang w:val="vi"/>
        </w:rPr>
        <w:t>Q</w:t>
      </w:r>
      <w:r w:rsidR="007E055C" w:rsidRPr="00FE4250">
        <w:rPr>
          <w:rFonts w:cs="Times New Roman"/>
          <w:lang w:val="vi"/>
        </w:rPr>
        <w:t>uốc.</w:t>
      </w:r>
      <w:bookmarkEnd w:id="18"/>
      <w:r w:rsidR="007E055C" w:rsidRPr="00FE4250">
        <w:rPr>
          <w:rFonts w:cs="Times New Roman"/>
          <w:lang w:val="vi"/>
        </w:rPr>
        <w:t xml:space="preserve"> </w:t>
      </w:r>
    </w:p>
    <w:p w14:paraId="4D9AE790" w14:textId="77777777" w:rsidR="007E055C" w:rsidRPr="00FE4250" w:rsidRDefault="007E055C" w:rsidP="00DA5916">
      <w:pPr>
        <w:pStyle w:val="0NOIDUNG"/>
        <w:rPr>
          <w:rFonts w:cs="Times New Roman"/>
          <w:lang w:val="vi"/>
        </w:rPr>
      </w:pPr>
      <w:r w:rsidRPr="00FE4250">
        <w:rPr>
          <w:rFonts w:cs="Times New Roman"/>
          <w:lang w:val="vi"/>
        </w:rPr>
        <w:t xml:space="preserve">Có thể nhận định rằng, không có một quốc gia nào trên thế giới có thể sánh với Trung Quốc về tốc độ phát triển và mức độ sử dụng các nền tảng P2P Lending. Các nền tảng cho vay trực tuyến ngày càng được sử dụng rộng rãi và phổ biến kể từ khi nền tảng đầu tiên được ra mắt vào năm 2007 - nền tảng PPdai. Ban đầu, ngành công nghiệp này đã được các nhà chức trách buông lỏng quản lý, không bị ràng buộc hoặc giám sát bởi bất kỳ một quy định nào. Vì vậy, một lượng lớn tiền nóng đã được bơm vào các sàn P2P Lending, thúc đẩy hoạt động này phát triển mạnh mẽ. Báo cáo hàng năm của ngành cho vay trực tuyến của Trung Quốc năm 2016 cho biết, tổng doanh thu toàn ngành đạt 2,063 nghìn tỷ RMB (tương đương 311,73 tỷ USD), tăng 110% so với năm 2015. Bên cạnh </w:t>
      </w:r>
      <w:r w:rsidRPr="00FE4250">
        <w:rPr>
          <w:rFonts w:cs="Times New Roman"/>
          <w:lang w:val="vi"/>
        </w:rPr>
        <w:lastRenderedPageBreak/>
        <w:t>đó, dư nợ tín dụng của ngành cho vay trực tuyến năm 2016 đạt 816,22 tỷ RMB (123,29 tỷ USD), tăng 100,99% so với cùng kỳ năm 2015 và gấp 125 lần so với năm 2012. Những nền tảng thành công như Yiren Digital (được thành lập năm 2012 là một công ty con của Creditease).</w:t>
      </w:r>
    </w:p>
    <w:p w14:paraId="38D64A89" w14:textId="77777777" w:rsidR="007E055C" w:rsidRPr="00FE4250" w:rsidRDefault="007E055C" w:rsidP="00DA5916">
      <w:pPr>
        <w:pStyle w:val="0NOIDUNG"/>
        <w:rPr>
          <w:rFonts w:cs="Times New Roman"/>
          <w:lang w:val="vi"/>
        </w:rPr>
      </w:pPr>
      <w:r w:rsidRPr="00FE4250">
        <w:rPr>
          <w:rFonts w:cs="Times New Roman"/>
          <w:lang w:val="vi"/>
        </w:rPr>
        <w:t>Do sự nở rộ của hình thức cho vay ngang hàng nên thị trường có tính cạnh tranh cao. Lãi suất cho vay liên lục giảm mạnh từ chỗ bình quân khoảng 25%/năm (2014) xuống còn khoảng trung bình 12,5%/năm (2017). Do phát triển quá nóng trong điều kiện chưa có khung pháp lý rõ ràng và chặt chẽ nên thời gian gần đây, thị trường cho vay ngang hàng ở Trung Quốc xảy ra việc đổ vỡ hàng loạt. Tỷ lệ đổ vỡ tín dụng trong một số công ty cung cấp dịch vụ Platform có thể lên đến 35%. Nhiều Platform đã bị cấm hoạt động, hoặc vướng vòng lao lý. Năm 2016, chính phủ Trung Quốc có nhiều động thái thắt chặt hoạt động cho vay ngang hàng bằng cách đưa ra những điều kiện đăng ký và hoạt động ngặt nghèo và đặt mục tiêu giảm số công ty cung cấp dịch vụ xuống còn khoảng 200 (tức bằng khoảng 1/10) hiện nay. Tuy nhiên, vốn dĩ nền kinh tế ngầm Trung Quốc là rất lớn nên hoạt động cho vay ngang hàng được dự đoán vẫn tiếp tục nóng và biến tướng dưới dạng tín dụng đen, đặc biệt ở những vùng dân cư ít có điều kiện tiếp cận với dịch vụ ngân hàng truyền thống.</w:t>
      </w:r>
    </w:p>
    <w:p w14:paraId="5F30519D" w14:textId="77777777" w:rsidR="006B54B6" w:rsidRPr="00FE4250" w:rsidRDefault="007E055C" w:rsidP="00DA5916">
      <w:pPr>
        <w:pStyle w:val="0NOIDUNG"/>
        <w:rPr>
          <w:rFonts w:eastAsia="Times New Roman" w:cs="Times New Roman"/>
          <w:lang w:val="vi"/>
        </w:rPr>
      </w:pPr>
      <w:r w:rsidRPr="00FE4250">
        <w:rPr>
          <w:rFonts w:eastAsia="Times New Roman" w:cs="Times New Roman"/>
          <w:lang w:val="vi"/>
        </w:rPr>
        <w:t>Bộ máy quản lý hoạt động P2P Lending ở Trung Quốc gồm hai cấp: Trung ương và địa phương:</w:t>
      </w:r>
    </w:p>
    <w:p w14:paraId="4ED1DD78" w14:textId="4EDAA04C" w:rsidR="007E055C" w:rsidRPr="00FE4250" w:rsidRDefault="007E055C" w:rsidP="00DA5916">
      <w:pPr>
        <w:pStyle w:val="0NOIDUNG"/>
        <w:rPr>
          <w:rFonts w:eastAsia="Times New Roman" w:cs="Times New Roman"/>
          <w:lang w:val="vi"/>
        </w:rPr>
      </w:pPr>
      <w:r w:rsidRPr="00FE4250">
        <w:rPr>
          <w:rFonts w:eastAsia="Times New Roman" w:cs="Times New Roman"/>
          <w:lang w:val="vi"/>
        </w:rPr>
        <w:t>Cấp Trung ương: Cấu trúc quản lý tài chính hiện tại ở Trung Quốc là phân quyền quản lý dựa trên lĩnh vực. Năm 2016, sau gần 10 năm kể từ khi sàn P2P Lending đầu tiên xuất hiện tại Trung Quốc, P2P Lending chính thức được coi như là kinh doanh ngân hàng theo hình thức cho vay trực tuyến, do đó thuộc thẩm quyền của Ủy ban Quản lý Ngân hàng Trung Quốc (CBRC).</w:t>
      </w:r>
    </w:p>
    <w:p w14:paraId="40AA454E" w14:textId="77777777" w:rsidR="007E055C" w:rsidRPr="00FE4250" w:rsidRDefault="007E055C" w:rsidP="00DA5916">
      <w:pPr>
        <w:pStyle w:val="0NOIDUNG"/>
        <w:rPr>
          <w:rFonts w:eastAsia="Times New Roman" w:cs="Times New Roman"/>
          <w:lang w:val="vi"/>
        </w:rPr>
      </w:pPr>
      <w:r w:rsidRPr="00FE4250">
        <w:rPr>
          <w:rFonts w:eastAsia="Times New Roman" w:cs="Times New Roman"/>
          <w:lang w:val="vi"/>
        </w:rPr>
        <w:t>Cấp địa phương: Cơ quan quản lý địa phương thường là văn phòng hoặc phòng tài chính do chính quyền địa phương thành lập. Cơ quan quản lý địa phương chịu trách nhiệm giám sát các nền tảng P2P Lending tại địa bàn của mình về các vấn đề như thành lập, thay đổi và giải thể.</w:t>
      </w:r>
    </w:p>
    <w:p w14:paraId="5F319388" w14:textId="77777777" w:rsidR="007E055C" w:rsidRPr="00FE4250" w:rsidRDefault="007E055C" w:rsidP="00502794">
      <w:pPr>
        <w:spacing w:after="0" w:line="312" w:lineRule="auto"/>
        <w:ind w:left="720"/>
        <w:rPr>
          <w:rFonts w:ascii="Times New Roman" w:eastAsia="Times New Roman" w:hAnsi="Times New Roman" w:cs="Times New Roman"/>
          <w:sz w:val="26"/>
          <w:szCs w:val="26"/>
          <w:lang w:val="vi"/>
        </w:rPr>
      </w:pPr>
    </w:p>
    <w:p w14:paraId="6ADC6B5B" w14:textId="77777777" w:rsidR="007E055C" w:rsidRPr="00F76356" w:rsidRDefault="007E055C" w:rsidP="00DA5916">
      <w:pPr>
        <w:pStyle w:val="0LV1"/>
        <w:rPr>
          <w:rFonts w:cs="Times New Roman"/>
          <w:lang w:val="vi"/>
        </w:rPr>
      </w:pPr>
      <w:bookmarkStart w:id="19" w:name="_Toc134387172"/>
      <w:r w:rsidRPr="00F76356">
        <w:rPr>
          <w:rFonts w:cs="Times New Roman"/>
          <w:lang w:val="vi"/>
        </w:rPr>
        <w:lastRenderedPageBreak/>
        <w:t>CHƯƠNG 3: HOẠT ĐỘNG CHO VAY NGANG HÀNG TẠI  VIỆT NAM</w:t>
      </w:r>
      <w:bookmarkEnd w:id="19"/>
    </w:p>
    <w:p w14:paraId="5D4D49F2" w14:textId="77777777" w:rsidR="007E055C" w:rsidRPr="00F76356" w:rsidRDefault="007E055C" w:rsidP="00DA5916">
      <w:pPr>
        <w:pStyle w:val="0LV2"/>
        <w:rPr>
          <w:rFonts w:cs="Times New Roman"/>
          <w:lang w:val="vi"/>
        </w:rPr>
      </w:pPr>
      <w:bookmarkStart w:id="20" w:name="_Toc134387173"/>
      <w:r w:rsidRPr="00F76356">
        <w:rPr>
          <w:rFonts w:cs="Times New Roman"/>
          <w:lang w:val="vi"/>
        </w:rPr>
        <w:t>3.1. Tổng quan hoạt động cho vay ngang hàng tại Việt Nam</w:t>
      </w:r>
      <w:bookmarkEnd w:id="20"/>
    </w:p>
    <w:p w14:paraId="791AC0F2" w14:textId="77777777" w:rsidR="007E055C" w:rsidRPr="00F76356" w:rsidRDefault="007E055C" w:rsidP="00DA5916">
      <w:pPr>
        <w:pStyle w:val="0NOIDUNG"/>
        <w:rPr>
          <w:rFonts w:cs="Times New Roman"/>
          <w:lang w:val="vi"/>
        </w:rPr>
      </w:pPr>
      <w:r w:rsidRPr="00F76356">
        <w:rPr>
          <w:rFonts w:cs="Times New Roman"/>
          <w:lang w:val="vi"/>
        </w:rPr>
        <w:t>Tại Việt Nam bắt đầu xuất hiện công ty hoạt động giống mô hình P2P Lending từ năm 2016 với trang huydong.com. Kể từ đó, nhiều công ty P2P Lending khác đã dần đi vào hoạt động, như Tima, SHA, Mobivi, Vaymuon.vn, Mofin…</w:t>
      </w:r>
    </w:p>
    <w:p w14:paraId="126903AB" w14:textId="77777777" w:rsidR="007E055C" w:rsidRPr="00F76356" w:rsidRDefault="007E055C" w:rsidP="00D87BDA">
      <w:pPr>
        <w:pStyle w:val="0NOIDUNG"/>
        <w:rPr>
          <w:rFonts w:cs="Times New Roman"/>
          <w:lang w:val="vi"/>
        </w:rPr>
      </w:pPr>
      <w:r w:rsidRPr="00F76356">
        <w:rPr>
          <w:rFonts w:cs="Times New Roman"/>
          <w:lang w:val="vi"/>
        </w:rPr>
        <w:t>Theo Báo cáo tài chính khu vực châu Á - Thái Bình Dương lần 3, quy mô của thị trường P2P Lending Việt Nam khá nhỏ so với các nước trong khu vực Đông Nam Á, chiếm 1,6% khối lượng giao dịch của khu vực, chỉ xếp trên Nepal và Kazakhstan (University of Cambridge JBS, 2018). Điều này cũng phù hợp với tuổi đời còn non trẻ của mô hình P2P Lending tại Việt Nam. Tuy nhiên, Việt Nam có nhiều tiềm năng thích hợp cho sự phát triển của mô hình này dựa trên sự phát triển nhanh chóng của khoa học công nghệ, Internet, thiết bị di dộng và đặc biệt là dữ liệu lớn (Big Data). Bên cạnh đó, sự thay đổi về cơ cấu dân số học, đặc biệt là thế hệ trẻ sẵn sàng thích ứng với công nghệ mới và mong muốn được cung cấp các dịch vụ tài chính thuận lợi và nhanh chóng hơn nên dễ dàng chấp nhận các sản phẩm dịch vụ mới như P2P Lending.</w:t>
      </w:r>
    </w:p>
    <w:p w14:paraId="61BE856B" w14:textId="77777777" w:rsidR="007E055C" w:rsidRPr="00F76356" w:rsidRDefault="007E055C" w:rsidP="00D87BDA">
      <w:pPr>
        <w:pStyle w:val="0NOIDUNG"/>
        <w:rPr>
          <w:rFonts w:cs="Times New Roman"/>
          <w:szCs w:val="26"/>
          <w:lang w:val="vi"/>
        </w:rPr>
      </w:pPr>
      <w:r w:rsidRPr="00F76356">
        <w:rPr>
          <w:rFonts w:cs="Times New Roman"/>
          <w:szCs w:val="26"/>
          <w:lang w:val="vi"/>
        </w:rPr>
        <w:t>Thống kê sơ bộ của Ngân hàng Nhà nước, Việt Nam hiện có khoảng 100 công ty P2P Lending (bao gồm cả công ty đã đi vào hoạt động chính thức và một số công ty đang trong giai đoạn thử nghiệm) như Tima, Trust Circle, Vay mượn, Lendmo, Wecash, InterLoan… (Bảng 1). Tuy nhiên, thực tế số doanh nghiệp hoạt động P2P Lending có thể nhiều hơn và rất khó đo lường một cách chính xác vì hiện nay các cơ quan quản lý chưa tổ chức thống kê chính thức các thông tin liên quan đến doanh nghiệp triển khai hoạt động P2P Lending tại Việt Nam.</w:t>
      </w:r>
    </w:p>
    <w:p w14:paraId="1E4920A5" w14:textId="77777777" w:rsidR="00D87BDA" w:rsidRPr="00F76356" w:rsidRDefault="00D87BDA">
      <w:pPr>
        <w:rPr>
          <w:rFonts w:ascii="Times New Roman" w:eastAsiaTheme="minorHAnsi" w:hAnsi="Times New Roman" w:cs="Times New Roman"/>
          <w:sz w:val="26"/>
          <w:lang w:val="vi" w:eastAsia="en-US"/>
        </w:rPr>
      </w:pPr>
      <w:r w:rsidRPr="00F76356">
        <w:rPr>
          <w:rFonts w:ascii="Times New Roman" w:hAnsi="Times New Roman" w:cs="Times New Roman"/>
          <w:lang w:val="vi"/>
        </w:rPr>
        <w:br w:type="page"/>
      </w:r>
    </w:p>
    <w:p w14:paraId="64A848DC" w14:textId="40C02D68" w:rsidR="007E055C" w:rsidRPr="00F76356" w:rsidRDefault="007E055C" w:rsidP="00D87BDA">
      <w:pPr>
        <w:pStyle w:val="0BANG"/>
        <w:rPr>
          <w:rFonts w:cs="Times New Roman"/>
          <w:lang w:val="vi"/>
        </w:rPr>
      </w:pPr>
      <w:bookmarkStart w:id="21" w:name="_Toc134387194"/>
      <w:r w:rsidRPr="00F76356">
        <w:rPr>
          <w:rFonts w:cs="Times New Roman"/>
          <w:lang w:val="vi"/>
        </w:rPr>
        <w:lastRenderedPageBreak/>
        <w:t xml:space="preserve">Bảng </w:t>
      </w:r>
      <w:r w:rsidR="00B73CC4" w:rsidRPr="00FE4250">
        <w:rPr>
          <w:rFonts w:cs="Times New Roman"/>
          <w:lang w:val="vi"/>
        </w:rPr>
        <w:t>3.1</w:t>
      </w:r>
      <w:r w:rsidRPr="00F76356">
        <w:rPr>
          <w:rFonts w:cs="Times New Roman"/>
          <w:lang w:val="vi"/>
        </w:rPr>
        <w:t>: Danh sách một số công ty P2P Lending truyền thống hoạt động tại Việt Nam</w:t>
      </w:r>
      <w:bookmarkEnd w:id="21"/>
    </w:p>
    <w:p w14:paraId="2700012E" w14:textId="77777777" w:rsidR="007E055C" w:rsidRPr="00F76356" w:rsidRDefault="007E055C" w:rsidP="00D87BDA">
      <w:pPr>
        <w:spacing w:line="312" w:lineRule="auto"/>
        <w:ind w:left="0" w:firstLine="0"/>
        <w:rPr>
          <w:rFonts w:ascii="Times New Roman" w:hAnsi="Times New Roman" w:cs="Times New Roman"/>
          <w:sz w:val="26"/>
          <w:szCs w:val="26"/>
        </w:rPr>
      </w:pPr>
      <w:r w:rsidRPr="00F76356">
        <w:rPr>
          <w:rFonts w:ascii="Times New Roman" w:hAnsi="Times New Roman" w:cs="Times New Roman"/>
          <w:b/>
          <w:bCs/>
          <w:i/>
          <w:iCs/>
          <w:noProof/>
          <w:sz w:val="26"/>
          <w:szCs w:val="26"/>
          <w:lang w:eastAsia="zh-CN"/>
        </w:rPr>
        <w:drawing>
          <wp:inline distT="0" distB="0" distL="0" distR="0" wp14:anchorId="68AC4370" wp14:editId="2792517C">
            <wp:extent cx="5982146" cy="3786553"/>
            <wp:effectExtent l="0" t="0" r="0" b="4445"/>
            <wp:docPr id="5" name="Picture 5" descr="https://tapchinganhang.gov.vn/pic/News/lethithuthuy/images/1(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pchinganhang.gov.vn/pic/News/lethithuthuy/images/1(7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0693" cy="3829942"/>
                    </a:xfrm>
                    <a:prstGeom prst="rect">
                      <a:avLst/>
                    </a:prstGeom>
                    <a:noFill/>
                    <a:ln>
                      <a:noFill/>
                    </a:ln>
                  </pic:spPr>
                </pic:pic>
              </a:graphicData>
            </a:graphic>
          </wp:inline>
        </w:drawing>
      </w:r>
    </w:p>
    <w:p w14:paraId="1B078B31" w14:textId="77777777" w:rsidR="00535681" w:rsidRPr="00F76356" w:rsidRDefault="007E055C" w:rsidP="00D87BDA">
      <w:pPr>
        <w:pStyle w:val="0NOIDUNG"/>
        <w:rPr>
          <w:rFonts w:cs="Times New Roman"/>
        </w:rPr>
      </w:pPr>
      <w:r w:rsidRPr="00F76356">
        <w:rPr>
          <w:rFonts w:cs="Times New Roman"/>
        </w:rPr>
        <w:t xml:space="preserve">Tuy mới xuất hiện và tồn tại khoảng 5 năm, các công ty P2P Lending đã đưa ra các sản phẩm vay vốn trên các nền tảng trực tuyến khá đa dạng, gồm: Vay có tài sản bảo đảm và vay không có tài sản bảo đảm, trong đó chủ yếu là vay không có tài sản bảo đảm. Đối với khoản vay cá nhân, các công ty P2P Lending đưa ra các sản phẩm vay tín chấp theo lương, vay theo sổ hộ khẩu, vay theo đăng ký xe máy, vay trả góp, vay theo hóa đơn điện, nước... Đối với doanh nghiệp (chủ yếu là các doanh nghiệp vừa và nhỏ - SMEs), các công ty P2P Lending cũng đưa ra nhiều sản phẩm, dịch vụ như vay tài trợ các khoản phải thu, tài trợ bên mua hàng, tài trợ vốn lưu động, tài trợ thương mại điện tử... </w:t>
      </w:r>
    </w:p>
    <w:p w14:paraId="39592BB6" w14:textId="77777777" w:rsidR="0050703D" w:rsidRPr="00F76356" w:rsidRDefault="0050703D" w:rsidP="00502794">
      <w:pPr>
        <w:spacing w:line="312" w:lineRule="auto"/>
        <w:rPr>
          <w:rFonts w:ascii="Times New Roman" w:hAnsi="Times New Roman" w:cs="Times New Roman"/>
          <w:bCs/>
          <w:sz w:val="26"/>
          <w:szCs w:val="26"/>
        </w:rPr>
      </w:pPr>
    </w:p>
    <w:p w14:paraId="19E896EC" w14:textId="77777777" w:rsidR="00F76356" w:rsidRPr="00F76356" w:rsidRDefault="00F76356">
      <w:pPr>
        <w:rPr>
          <w:rFonts w:ascii="Times New Roman" w:hAnsi="Times New Roman" w:cs="Times New Roman"/>
        </w:rPr>
      </w:pPr>
      <w:r w:rsidRPr="00F76356">
        <w:rPr>
          <w:rFonts w:ascii="Times New Roman" w:hAnsi="Times New Roman" w:cs="Times New Roman"/>
        </w:rPr>
        <w:br w:type="page"/>
      </w:r>
    </w:p>
    <w:p w14:paraId="0AF29270" w14:textId="7A1A75E5" w:rsidR="00F76356" w:rsidRPr="00B73CC4" w:rsidRDefault="00F76356" w:rsidP="00B73CC4">
      <w:pPr>
        <w:pStyle w:val="0BANG"/>
        <w:rPr>
          <w:rFonts w:cs="Times New Roman"/>
        </w:rPr>
      </w:pPr>
      <w:bookmarkStart w:id="22" w:name="_Toc134387195"/>
      <w:r w:rsidRPr="00B73CC4">
        <w:rPr>
          <w:rFonts w:cs="Times New Roman"/>
        </w:rPr>
        <w:lastRenderedPageBreak/>
        <w:t xml:space="preserve">Bảng </w:t>
      </w:r>
      <w:r w:rsidR="00B73CC4" w:rsidRPr="00B73CC4">
        <w:rPr>
          <w:rFonts w:cs="Times New Roman"/>
        </w:rPr>
        <w:t>3.2</w:t>
      </w:r>
      <w:r w:rsidRPr="00B73CC4">
        <w:rPr>
          <w:rFonts w:cs="Times New Roman"/>
        </w:rPr>
        <w:t>: Số nền tảng P2P Lending theo quốc gia và theo đơn vị tiền tệ</w:t>
      </w:r>
      <w:bookmarkEnd w:id="22"/>
    </w:p>
    <w:p w14:paraId="4D7B3E0C" w14:textId="36613119" w:rsidR="007E055C" w:rsidRPr="00F76356" w:rsidRDefault="007E055C" w:rsidP="00D87BDA">
      <w:pPr>
        <w:spacing w:line="312" w:lineRule="auto"/>
        <w:ind w:left="0" w:firstLine="0"/>
        <w:rPr>
          <w:rFonts w:ascii="Times New Roman" w:hAnsi="Times New Roman" w:cs="Times New Roman"/>
          <w:sz w:val="26"/>
          <w:szCs w:val="26"/>
        </w:rPr>
      </w:pPr>
      <w:r w:rsidRPr="00F76356">
        <w:rPr>
          <w:rFonts w:ascii="Times New Roman" w:hAnsi="Times New Roman" w:cs="Times New Roman"/>
          <w:i/>
          <w:iCs/>
          <w:noProof/>
          <w:sz w:val="26"/>
          <w:szCs w:val="26"/>
          <w:lang w:eastAsia="zh-CN"/>
        </w:rPr>
        <w:drawing>
          <wp:inline distT="0" distB="0" distL="0" distR="0" wp14:anchorId="37EA1C36" wp14:editId="6328471D">
            <wp:extent cx="6125845" cy="3543300"/>
            <wp:effectExtent l="0" t="0" r="8255" b="0"/>
            <wp:docPr id="15" name="Picture 15" descr="https://tapchinganhang.gov.vn/pic/News/lethithuthuy/images/1(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pchinganhang.gov.vn/pic/News/lethithuthuy/images/1(7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4346" cy="3548217"/>
                    </a:xfrm>
                    <a:prstGeom prst="rect">
                      <a:avLst/>
                    </a:prstGeom>
                    <a:noFill/>
                    <a:ln>
                      <a:noFill/>
                    </a:ln>
                  </pic:spPr>
                </pic:pic>
              </a:graphicData>
            </a:graphic>
          </wp:inline>
        </w:drawing>
      </w:r>
    </w:p>
    <w:p w14:paraId="0C0823F6" w14:textId="402202A0" w:rsidR="007E055C" w:rsidRPr="00F76356" w:rsidRDefault="007E055C" w:rsidP="00F76356">
      <w:pPr>
        <w:pStyle w:val="0NGUON"/>
        <w:rPr>
          <w:rFonts w:cs="Times New Roman"/>
          <w:b/>
          <w:bCs/>
          <w:sz w:val="26"/>
          <w:szCs w:val="26"/>
        </w:rPr>
      </w:pPr>
      <w:r w:rsidRPr="00F76356">
        <w:rPr>
          <w:rStyle w:val="Emphasis"/>
          <w:rFonts w:cs="Times New Roman"/>
          <w:sz w:val="26"/>
          <w:szCs w:val="26"/>
        </w:rPr>
        <w:t xml:space="preserve">Nguồn: </w:t>
      </w:r>
      <w:hyperlink r:id="rId12" w:history="1">
        <w:r w:rsidRPr="00F76356">
          <w:rPr>
            <w:rStyle w:val="Hyperlink"/>
            <w:rFonts w:cs="Times New Roman"/>
            <w:color w:val="auto"/>
            <w:sz w:val="26"/>
            <w:szCs w:val="26"/>
          </w:rPr>
          <w:t>https://p2pmarketdata.com/p2p-finance-worldwide-statistics/</w:t>
        </w:r>
      </w:hyperlink>
    </w:p>
    <w:p w14:paraId="67AC67F1" w14:textId="2C1FB060" w:rsidR="007E055C" w:rsidRPr="00F76356" w:rsidRDefault="00F76356" w:rsidP="00F76356">
      <w:pPr>
        <w:pStyle w:val="0LV2"/>
        <w:rPr>
          <w:rFonts w:cs="Times New Roman"/>
        </w:rPr>
      </w:pPr>
      <w:bookmarkStart w:id="23" w:name="_Toc134387174"/>
      <w:r w:rsidRPr="00F76356">
        <w:rPr>
          <w:rFonts w:cs="Times New Roman"/>
        </w:rPr>
        <w:t xml:space="preserve">3.2. </w:t>
      </w:r>
      <w:r w:rsidR="007E055C" w:rsidRPr="00F76356">
        <w:rPr>
          <w:rFonts w:cs="Times New Roman"/>
        </w:rPr>
        <w:t>Thực trạng hoạt động cho vay ngang hàng tại Việt Nam</w:t>
      </w:r>
      <w:bookmarkEnd w:id="23"/>
      <w:r w:rsidR="007E055C" w:rsidRPr="00F76356">
        <w:rPr>
          <w:rFonts w:cs="Times New Roman"/>
        </w:rPr>
        <w:t xml:space="preserve">    </w:t>
      </w:r>
    </w:p>
    <w:p w14:paraId="5C1C7A4A" w14:textId="77777777" w:rsidR="007E055C" w:rsidRPr="00F76356" w:rsidRDefault="007E055C" w:rsidP="00F76356">
      <w:pPr>
        <w:pStyle w:val="0LV3"/>
        <w:rPr>
          <w:rFonts w:cs="Times New Roman"/>
        </w:rPr>
      </w:pPr>
      <w:bookmarkStart w:id="24" w:name="_Toc134387175"/>
      <w:r w:rsidRPr="00F76356">
        <w:rPr>
          <w:rFonts w:cs="Times New Roman"/>
        </w:rPr>
        <w:t>3.2.1. Quy mô</w:t>
      </w:r>
      <w:bookmarkEnd w:id="24"/>
    </w:p>
    <w:p w14:paraId="4B8C5EBF" w14:textId="56BE20B9" w:rsidR="007E055C" w:rsidRPr="00F76356" w:rsidRDefault="007E055C" w:rsidP="00DA5916">
      <w:pPr>
        <w:pStyle w:val="0NOIDUNG"/>
        <w:rPr>
          <w:rFonts w:cs="Times New Roman"/>
          <w:shd w:val="clear" w:color="auto" w:fill="FFFFFF"/>
        </w:rPr>
      </w:pPr>
      <w:r w:rsidRPr="00F76356">
        <w:rPr>
          <w:rFonts w:cs="Times New Roman"/>
        </w:rPr>
        <w:t>Xu hướng phát triển dịch vụ P2P Lending đã lan rộng tới cả các nước đang phát triển và Việt Nam cũng là một trong số đó. Trong số hơn 100 công ty Fintech được cấp phép thì có đến 40 công ty có dịch vụ P2P Lending, một số công ty có nguồn gốc từ Trung Quốc, Indonesia, Singapore. Một số đang hoạt động khá hiệu quả, nhất là những công ty cho vay nhắm vào phân khúc doanh nghiệp nhỏ và vừa, dần giúp thị trường này trở thành một kênh huy động vốn tiềm  năng. Doanh nghiệp nhỏ và vừa vốn là đối tượng có nhu cầu vốn hoạt động sản xuất, kinh doanh thay đổi lớn trong quá trình hoạt động cũng như thường phải huy động vốn từ các nguồn không chính thức. Mô hình phát triển P2P Lending tại Việt Nam cũng khá đa dạng. Theo ngân hàng Nhà nước, mô hình hoạt động trực tiếp và gián tiếp đều đã được triển khai tại Việt Nam.</w:t>
      </w:r>
    </w:p>
    <w:p w14:paraId="631B9482" w14:textId="56FA4ED8" w:rsidR="007E055C" w:rsidRPr="00F76356" w:rsidRDefault="007E055C" w:rsidP="00DA5916">
      <w:pPr>
        <w:pStyle w:val="0NOIDUNG"/>
        <w:rPr>
          <w:rFonts w:cs="Times New Roman"/>
        </w:rPr>
      </w:pPr>
      <w:r w:rsidRPr="00F76356">
        <w:rPr>
          <w:rFonts w:cs="Times New Roman"/>
        </w:rPr>
        <w:t xml:space="preserve">Tại Việt Nam, các hoạt động của các công ty Fintech bao gồm bốn nhóm, bao gồm: huy động vốn cộng đồng, cho vay, quản lý tài chính cá nhân, thanh toán (di động), Bitcoin/Blockchain, quản lý POS (Point of Sale ), quản lý dữ liệu và so sánh thông tin. Năm 2016, 1 trong tổng số 39 công ty Fintech là Loanvi hoạt động trong lĩnh vực P2P </w:t>
      </w:r>
      <w:r w:rsidRPr="00F76356">
        <w:rPr>
          <w:rFonts w:cs="Times New Roman"/>
        </w:rPr>
        <w:lastRenderedPageBreak/>
        <w:t>Lending. Năm 2017, 48 công ty Fintech, trong đó 3 công ty hoạt động trong lĩnh vực P2P Lending là Loanvi (HuyDong), Tima, TrustCircle. Đến năm 2018, sự gia nhập của nhiều công ty như Vaymuon, Mofin, Lendbiz, Fiin, Megalend,… đã nâng thêm số các công ty Fintech hoạt động trong lĩnh vực P2P Lending tại Việt Nam (FinTech News, 2017) và (Fintech News, 2018), góp phần tham gia vào cung ứng vốn cùng với quy mô vốn cung ứng và số lượng khách hàng khá lớn.</w:t>
      </w:r>
    </w:p>
    <w:p w14:paraId="341D383D" w14:textId="77777777" w:rsidR="007E055C" w:rsidRPr="00F76356" w:rsidRDefault="007E055C" w:rsidP="00DA5916">
      <w:pPr>
        <w:pStyle w:val="0NOIDUNG"/>
        <w:rPr>
          <w:rFonts w:cs="Times New Roman"/>
        </w:rPr>
      </w:pPr>
      <w:r w:rsidRPr="00F76356">
        <w:rPr>
          <w:rFonts w:cs="Times New Roman"/>
        </w:rPr>
        <w:t>P2P Lending Việt Nam được vận hành theo một cơ chế với các cấu phần bao gồm nhà đầu tư hoặc người cho vay, nền tảng P2P Lending và người vay. Trong đó, (i) người vay nộp đơn cho khoản vay, thông tin đăng nhập vào nền tảng P2P Lending. Tuy vậy, chưa thể hiện rõ mô hình chấm điểm người vay để đáp ứng các tiêu chí tối thiểu để quyết định cho vay hoặc đầu tư; (ii)  công ty P2P Lending gắn kết người cho vay hoặc người cần đầu tư với người cho vay hoặc nhà đầu tư để có quyết định lựa chọn cho vay hoặc đầu tư; (iii) quyết định cho vay hoặc đầu tư được xác lập nhanh chóng và (iv) tiền vay được chuyển cho người vay thông qua nền tảng điện tử.</w:t>
      </w:r>
    </w:p>
    <w:p w14:paraId="60033D0C" w14:textId="4AD7DD59" w:rsidR="007E055C" w:rsidRPr="00F76356" w:rsidRDefault="007E055C" w:rsidP="00DA5916">
      <w:pPr>
        <w:pStyle w:val="0NOIDUNG"/>
        <w:rPr>
          <w:rFonts w:cs="Times New Roman"/>
        </w:rPr>
      </w:pPr>
      <w:r w:rsidRPr="00F76356">
        <w:rPr>
          <w:rFonts w:cs="Times New Roman"/>
        </w:rPr>
        <w:t>Bên cạnh đó, cơ chế vận hành được phân chia theo các bước chưa thực sự chi tiết trong việc xác thực thông tin người vay, xác thực tài khoản ngân hàng và thể hiện quy trình thanh toán, khấu trừ tự độ</w:t>
      </w:r>
      <w:r w:rsidR="00F76356" w:rsidRPr="00F76356">
        <w:rPr>
          <w:rFonts w:cs="Times New Roman"/>
        </w:rPr>
        <w:t>ng hàng tháng.</w:t>
      </w:r>
    </w:p>
    <w:p w14:paraId="3677976E" w14:textId="77777777" w:rsidR="00F76356" w:rsidRPr="00F76356" w:rsidRDefault="00F76356">
      <w:pPr>
        <w:rPr>
          <w:rFonts w:ascii="Times New Roman" w:eastAsiaTheme="minorHAnsi" w:hAnsi="Times New Roman" w:cs="Times New Roman"/>
          <w:i/>
          <w:sz w:val="24"/>
          <w:lang w:eastAsia="en-US"/>
        </w:rPr>
      </w:pPr>
      <w:r w:rsidRPr="00F76356">
        <w:rPr>
          <w:rFonts w:ascii="Times New Roman" w:hAnsi="Times New Roman" w:cs="Times New Roman"/>
        </w:rPr>
        <w:br w:type="page"/>
      </w:r>
    </w:p>
    <w:p w14:paraId="5653878E" w14:textId="3E260E89" w:rsidR="00F76356" w:rsidRPr="00F76356" w:rsidRDefault="00F76356" w:rsidP="00F76356">
      <w:pPr>
        <w:pStyle w:val="0BANG"/>
        <w:rPr>
          <w:rFonts w:cs="Times New Roman"/>
        </w:rPr>
      </w:pPr>
      <w:bookmarkStart w:id="25" w:name="_Toc134387196"/>
      <w:r w:rsidRPr="00F76356">
        <w:rPr>
          <w:rFonts w:cs="Times New Roman"/>
        </w:rPr>
        <w:lastRenderedPageBreak/>
        <w:t xml:space="preserve">Bảng </w:t>
      </w:r>
      <w:r w:rsidR="00B73CC4">
        <w:rPr>
          <w:rFonts w:cs="Times New Roman"/>
        </w:rPr>
        <w:t>3.3</w:t>
      </w:r>
      <w:r w:rsidRPr="00F76356">
        <w:rPr>
          <w:rFonts w:cs="Times New Roman"/>
        </w:rPr>
        <w:t>: Quy mô vận hàng theo các bước của một số công ty hoạt động trong lĩnh vực P2P Lending tại Việt Nam</w:t>
      </w:r>
      <w:bookmarkEnd w:id="25"/>
    </w:p>
    <w:p w14:paraId="6FB9ED77" w14:textId="77777777" w:rsidR="00F76356" w:rsidRPr="00F76356" w:rsidRDefault="00F76356" w:rsidP="00DA5916">
      <w:pPr>
        <w:pStyle w:val="0NOIDUNG"/>
        <w:rPr>
          <w:rFonts w:cs="Times New Roman"/>
        </w:rPr>
      </w:pPr>
    </w:p>
    <w:p w14:paraId="7749DABC" w14:textId="24F92065" w:rsidR="007E055C" w:rsidRPr="00F76356" w:rsidRDefault="00CE0CE1" w:rsidP="00F76356">
      <w:pPr>
        <w:spacing w:line="312" w:lineRule="auto"/>
        <w:ind w:left="0" w:right="190" w:firstLine="0"/>
        <w:jc w:val="center"/>
        <w:rPr>
          <w:rFonts w:ascii="Times New Roman" w:hAnsi="Times New Roman" w:cs="Times New Roman"/>
        </w:rPr>
      </w:pPr>
      <w:r w:rsidRPr="00F76356">
        <w:rPr>
          <w:rFonts w:ascii="Times New Roman" w:hAnsi="Times New Roman" w:cs="Times New Roman"/>
          <w:noProof/>
          <w:sz w:val="26"/>
          <w:szCs w:val="26"/>
          <w:lang w:eastAsia="zh-CN"/>
        </w:rPr>
        <w:drawing>
          <wp:inline distT="0" distB="0" distL="0" distR="0" wp14:anchorId="6D011D51" wp14:editId="4D1804D1">
            <wp:extent cx="5062329" cy="596265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285" cy="6139276"/>
                    </a:xfrm>
                    <a:prstGeom prst="rect">
                      <a:avLst/>
                    </a:prstGeom>
                    <a:noFill/>
                  </pic:spPr>
                </pic:pic>
              </a:graphicData>
            </a:graphic>
          </wp:inline>
        </w:drawing>
      </w:r>
    </w:p>
    <w:tbl>
      <w:tblPr>
        <w:tblpPr w:leftFromText="180" w:rightFromText="180" w:horzAnchor="page" w:tblpX="2105" w:tblpY="-1260"/>
        <w:tblW w:w="9820" w:type="dxa"/>
        <w:tblCellMar>
          <w:left w:w="0" w:type="dxa"/>
          <w:right w:w="0" w:type="dxa"/>
        </w:tblCellMar>
        <w:tblLook w:val="04A0" w:firstRow="1" w:lastRow="0" w:firstColumn="1" w:lastColumn="0" w:noHBand="0" w:noVBand="1"/>
      </w:tblPr>
      <w:tblGrid>
        <w:gridCol w:w="9820"/>
      </w:tblGrid>
      <w:tr w:rsidR="002D3EED" w:rsidRPr="00F76356" w14:paraId="1ECDCCA5" w14:textId="77777777" w:rsidTr="00700F72">
        <w:tc>
          <w:tcPr>
            <w:tcW w:w="0" w:type="auto"/>
            <w:tcMar>
              <w:top w:w="180" w:type="dxa"/>
              <w:left w:w="180" w:type="dxa"/>
              <w:bottom w:w="180" w:type="dxa"/>
              <w:right w:w="180" w:type="dxa"/>
            </w:tcMar>
            <w:hideMark/>
          </w:tcPr>
          <w:p w14:paraId="38C954FA" w14:textId="77777777" w:rsidR="007E055C" w:rsidRPr="00F76356" w:rsidRDefault="007E055C" w:rsidP="00F76356">
            <w:pPr>
              <w:pStyle w:val="0NOIDUNG"/>
              <w:rPr>
                <w:rFonts w:cs="Times New Roman"/>
                <w:i/>
                <w:iCs/>
              </w:rPr>
            </w:pPr>
          </w:p>
        </w:tc>
      </w:tr>
    </w:tbl>
    <w:p w14:paraId="5B1A0843" w14:textId="77777777" w:rsidR="007E055C" w:rsidRPr="00F76356" w:rsidRDefault="007E055C" w:rsidP="00F76356">
      <w:pPr>
        <w:pStyle w:val="0LV2"/>
        <w:rPr>
          <w:rFonts w:cs="Times New Roman"/>
        </w:rPr>
      </w:pPr>
      <w:bookmarkStart w:id="26" w:name="_Toc134387176"/>
      <w:r w:rsidRPr="00F76356">
        <w:rPr>
          <w:rFonts w:cs="Times New Roman"/>
        </w:rPr>
        <w:t>3.2. Đặc điểm</w:t>
      </w:r>
      <w:bookmarkEnd w:id="26"/>
    </w:p>
    <w:p w14:paraId="1354E731" w14:textId="77777777" w:rsidR="007E055C" w:rsidRPr="00F76356" w:rsidRDefault="007E055C" w:rsidP="00F76356">
      <w:pPr>
        <w:pStyle w:val="0NOIDUNG"/>
        <w:rPr>
          <w:rFonts w:cs="Times New Roman"/>
        </w:rPr>
      </w:pPr>
      <w:r w:rsidRPr="00F76356">
        <w:rPr>
          <w:rFonts w:cs="Times New Roman"/>
        </w:rPr>
        <w:t>Hầu hết hoạt động P2P Lending thực hiện theo mô hình P2P Lending gián tiếp, người cho vay gián tiếp tiến hành gắn kết các khoản vay với các nhà đầu tư. Các nhà đầu tư cho vay phần lớn là cá nhân. Theo mô hình kinh doanh này, người cho vay không phải chịu rủi ro tín dụng, chỉ đóng vai trò là người hỗ trợ giữa người vay và nhà đầu tư và các khoản vay thường không được đảm bảo. Đến nay, hoạt động P2P Lending của một số công ty hoạt động khá lớn và thể hiện trên các mặt sau:</w:t>
      </w:r>
    </w:p>
    <w:p w14:paraId="3B35FA79" w14:textId="77777777" w:rsidR="007E055C" w:rsidRPr="00F76356" w:rsidRDefault="007E055C" w:rsidP="00DA5916">
      <w:pPr>
        <w:pStyle w:val="0NOIDUNG"/>
        <w:rPr>
          <w:rFonts w:cs="Times New Roman"/>
        </w:rPr>
      </w:pPr>
      <w:r w:rsidRPr="00F76356">
        <w:rPr>
          <w:rStyle w:val="Emphasis"/>
          <w:rFonts w:cs="Times New Roman"/>
          <w:szCs w:val="26"/>
        </w:rPr>
        <w:lastRenderedPageBreak/>
        <w:t>Thứ nhất,</w:t>
      </w:r>
      <w:r w:rsidRPr="00F76356">
        <w:rPr>
          <w:rFonts w:cs="Times New Roman"/>
        </w:rPr>
        <w:t> phạm vi hoạt động P2P Lending rộng, trên phạm vi toàn quốc (Tima, 2019), MegaLend, 2019…).</w:t>
      </w:r>
    </w:p>
    <w:p w14:paraId="6B657F7F" w14:textId="77777777" w:rsidR="007E055C" w:rsidRPr="00F76356" w:rsidRDefault="007E055C" w:rsidP="00DA5916">
      <w:pPr>
        <w:pStyle w:val="0NOIDUNG"/>
        <w:rPr>
          <w:rFonts w:cs="Times New Roman"/>
        </w:rPr>
      </w:pPr>
      <w:r w:rsidRPr="00F76356">
        <w:rPr>
          <w:rStyle w:val="Emphasis"/>
          <w:rFonts w:cs="Times New Roman"/>
          <w:szCs w:val="26"/>
        </w:rPr>
        <w:t>Thứ hai,</w:t>
      </w:r>
      <w:r w:rsidRPr="00F76356">
        <w:rPr>
          <w:rFonts w:cs="Times New Roman"/>
        </w:rPr>
        <w:t> quy mô P2P Lending khá lớn, số tiền giải ngân của một số công ty khá cao, số lượng người vay, người cho vay hoặc nhà đầu tư khá lớn (Tima, 2019), (MegaLend, 2019)…, có  công ty cho vay với tổng số tiền lên đến khoảng 50 nghìn tỷ đồng và tổng số người cho vay hơn 2,4 triệu người (Tima, 2018).</w:t>
      </w:r>
    </w:p>
    <w:p w14:paraId="35080C54" w14:textId="77777777" w:rsidR="007E055C" w:rsidRPr="00F76356" w:rsidRDefault="007E055C" w:rsidP="00DA5916">
      <w:pPr>
        <w:pStyle w:val="0NOIDUNG"/>
        <w:rPr>
          <w:rFonts w:cs="Times New Roman"/>
        </w:rPr>
      </w:pPr>
      <w:r w:rsidRPr="00F76356">
        <w:rPr>
          <w:rStyle w:val="Emphasis"/>
          <w:rFonts w:cs="Times New Roman"/>
          <w:szCs w:val="26"/>
        </w:rPr>
        <w:t>Thứ ba,</w:t>
      </w:r>
      <w:r w:rsidRPr="00F76356">
        <w:rPr>
          <w:rFonts w:cs="Times New Roman"/>
        </w:rPr>
        <w:t> sản phẩm P2P Lending khá đa dạng, bao gồm cho vay đáp ứng nhu cầu sản xuất kinh doanh và phục vụ đời sống (Tima, 2019), HuyDong (2019)...</w:t>
      </w:r>
    </w:p>
    <w:p w14:paraId="10CDBB80" w14:textId="77777777" w:rsidR="007E055C" w:rsidRPr="00F76356" w:rsidRDefault="007E055C" w:rsidP="00DA5916">
      <w:pPr>
        <w:pStyle w:val="0NOIDUNG"/>
        <w:rPr>
          <w:rFonts w:cs="Times New Roman"/>
        </w:rPr>
      </w:pPr>
      <w:r w:rsidRPr="00F76356">
        <w:rPr>
          <w:rStyle w:val="Emphasis"/>
          <w:rFonts w:cs="Times New Roman"/>
          <w:szCs w:val="26"/>
        </w:rPr>
        <w:t>Thứ tư,</w:t>
      </w:r>
      <w:r w:rsidRPr="00F76356">
        <w:rPr>
          <w:rFonts w:cs="Times New Roman"/>
        </w:rPr>
        <w:t> thời hạn cho vay phần lớn là cho vay ngắn hạn (Tima, 2019), (HuyDong, 2019). Nếu tính cả các loại phí thì lãi suất phải cao hơn rất nhiều so với quy định của Bộ luật dân sự.</w:t>
      </w:r>
    </w:p>
    <w:p w14:paraId="4A4B1DEC" w14:textId="77777777" w:rsidR="007E055C" w:rsidRPr="00F76356" w:rsidRDefault="007E055C" w:rsidP="00DA5916">
      <w:pPr>
        <w:pStyle w:val="0NOIDUNG"/>
        <w:rPr>
          <w:rFonts w:cs="Times New Roman"/>
        </w:rPr>
      </w:pPr>
      <w:r w:rsidRPr="00F76356">
        <w:rPr>
          <w:rStyle w:val="Emphasis"/>
          <w:rFonts w:cs="Times New Roman"/>
          <w:szCs w:val="26"/>
        </w:rPr>
        <w:t>Thứ năm,</w:t>
      </w:r>
      <w:r w:rsidRPr="00F76356">
        <w:rPr>
          <w:rFonts w:cs="Times New Roman"/>
        </w:rPr>
        <w:t> lãi suất cho vay thường cao hơn lãi cho vay của các ngân hàng thương mại, cụ thể như lãi suất khoản vay 1,5 %/1 tháng (Vaymuon, 2019). Nếu tính cả các loại phí thì lãi suất phải trả cao hơn rất nhiều so với quy định của Bộ Luật dân sự.</w:t>
      </w:r>
    </w:p>
    <w:p w14:paraId="131377F8" w14:textId="77777777" w:rsidR="007E055C" w:rsidRPr="00F76356" w:rsidRDefault="007E055C" w:rsidP="00DA5916">
      <w:pPr>
        <w:pStyle w:val="0NOIDUNG"/>
        <w:rPr>
          <w:rFonts w:cs="Times New Roman"/>
        </w:rPr>
      </w:pPr>
      <w:r w:rsidRPr="00F76356">
        <w:rPr>
          <w:rStyle w:val="Emphasis"/>
          <w:rFonts w:cs="Times New Roman"/>
          <w:szCs w:val="26"/>
        </w:rPr>
        <w:t>Thứ sáu,</w:t>
      </w:r>
      <w:r w:rsidRPr="00F76356">
        <w:rPr>
          <w:rFonts w:cs="Times New Roman"/>
        </w:rPr>
        <w:t> mức cho vay nhỏ, mức vay tối đa của nhiều sản phẩm ở mức 50 triệu đồng và thực tế cho vay phổ biến từ phổ biến là 10 triệu đồng (Tima, 2019), (MegaLend, 2019)…,</w:t>
      </w:r>
    </w:p>
    <w:p w14:paraId="08000A62" w14:textId="77777777" w:rsidR="007E055C" w:rsidRPr="00F76356" w:rsidRDefault="007E055C" w:rsidP="00DA5916">
      <w:pPr>
        <w:pStyle w:val="0NOIDUNG"/>
        <w:rPr>
          <w:rFonts w:cs="Times New Roman"/>
        </w:rPr>
      </w:pPr>
      <w:r w:rsidRPr="00F76356">
        <w:rPr>
          <w:rStyle w:val="Emphasis"/>
          <w:rFonts w:cs="Times New Roman"/>
          <w:szCs w:val="26"/>
        </w:rPr>
        <w:t>Thứ bảy,</w:t>
      </w:r>
      <w:r w:rsidRPr="00F76356">
        <w:rPr>
          <w:rFonts w:cs="Times New Roman"/>
        </w:rPr>
        <w:t> định hướng khách hàng mục tiêu của các công ty khá rõ ràng, một số công ty phục vụ khách hàng cá nhân (Tima, 2019), (Vaymuon, 2019),…một số công ty tập trung vào khách hàng doanh nghiệp nhỏ (HuyDong, 2019),…và một số công ty hướng đến khách hàng doanh nghiệp nhỏ, hộ kinh doanh (Lendbiz, 2019),..</w:t>
      </w:r>
    </w:p>
    <w:p w14:paraId="4AE21925" w14:textId="77777777" w:rsidR="007E055C" w:rsidRPr="00F76356" w:rsidRDefault="007E055C" w:rsidP="00DA5916">
      <w:pPr>
        <w:pStyle w:val="0NOIDUNG"/>
        <w:rPr>
          <w:rFonts w:cs="Times New Roman"/>
        </w:rPr>
      </w:pPr>
      <w:r w:rsidRPr="00F76356">
        <w:rPr>
          <w:rFonts w:cs="Times New Roman"/>
        </w:rPr>
        <w:t>Với sự phát triển nhanh, hoạt động trên phạm vi rộng, quy mô hoạt động ngày càng gia tăng của P2P Lending trong các năm qua đã tạo thêm kênh cung ứng vốn phục vụ cho nhu cầu vốn sản xuất kinh doanh và cải thiện đời sống.</w:t>
      </w:r>
    </w:p>
    <w:p w14:paraId="08ED42C8" w14:textId="77777777" w:rsidR="007E055C" w:rsidRPr="00F76356" w:rsidRDefault="007E055C" w:rsidP="00DA5916">
      <w:pPr>
        <w:pStyle w:val="0LV2"/>
        <w:rPr>
          <w:rFonts w:cs="Times New Roman"/>
        </w:rPr>
      </w:pPr>
      <w:bookmarkStart w:id="27" w:name="_Toc134387177"/>
      <w:r w:rsidRPr="00F76356">
        <w:rPr>
          <w:rFonts w:cs="Times New Roman"/>
        </w:rPr>
        <w:t>3.3. Tốc độ phát triển</w:t>
      </w:r>
      <w:bookmarkEnd w:id="27"/>
    </w:p>
    <w:p w14:paraId="3B5C1E29" w14:textId="77777777" w:rsidR="007E055C" w:rsidRPr="00F76356" w:rsidRDefault="007E055C" w:rsidP="00DA5916">
      <w:pPr>
        <w:pStyle w:val="0NOIDUNG"/>
        <w:rPr>
          <w:rFonts w:cs="Times New Roman"/>
        </w:rPr>
      </w:pPr>
      <w:r w:rsidRPr="00F76356">
        <w:rPr>
          <w:rFonts w:cs="Times New Roman"/>
        </w:rPr>
        <w:t xml:space="preserve">Thời gian qua, tại Việt Nam, một số công ty đăng ký ngành nghề kinh doanh là tư vấn tài chính, môi giới tài chính và tự giới thiệu là các công ty cho vay ngang hàng cung cấp dịch vụ kết nối nhà đầu tư và người đi vay, tuy nhiên, pháp luật Việt Nam hiện nay chưa </w:t>
      </w:r>
      <w:r w:rsidRPr="00F76356">
        <w:rPr>
          <w:rFonts w:cs="Times New Roman"/>
        </w:rPr>
        <w:lastRenderedPageBreak/>
        <w:t>có quy định về mô hình cho vay ngang hàng. Một số công ty cho vay ngang hàng đã lợi dụng việc thiếu thông tin, thiếu hiểu biết của người dân dẫn đến nhà đầu tư hiểu nhầm việc các hoạt động đầu tư/cho vay qua các nền tảng của cho vay ngang hàng đều được bảo hiểm rủi ro.</w:t>
      </w:r>
    </w:p>
    <w:p w14:paraId="57FDD1B3" w14:textId="77777777" w:rsidR="007E055C" w:rsidRPr="00F76356" w:rsidRDefault="007E055C" w:rsidP="00DA5916">
      <w:pPr>
        <w:pStyle w:val="0NOIDUNG"/>
        <w:rPr>
          <w:rFonts w:cs="Times New Roman"/>
        </w:rPr>
      </w:pPr>
      <w:r w:rsidRPr="00F76356">
        <w:rPr>
          <w:rFonts w:cs="Times New Roman"/>
        </w:rPr>
        <w:t>Theo thống kê của Ngân hàng Nhà nước, trong số 40 công ty cho vay ngang hàng đang hoạt động ở nước ta thì có 10 công ty có nguồn gốc từ Trung Quốc và một số công ty từ Indonesia và Singapore. Theo cơ quan này, một số công ty trong số 40 DN này đã xuất hiện những hoạt động biến tướng, vi phạm pháp luật về ngân hàng và tín dụng.</w:t>
      </w:r>
    </w:p>
    <w:p w14:paraId="3F62B2D1" w14:textId="77777777" w:rsidR="007E055C" w:rsidRPr="00F76356" w:rsidRDefault="007E055C" w:rsidP="00DA5916">
      <w:pPr>
        <w:pStyle w:val="0NOIDUNG"/>
        <w:rPr>
          <w:rFonts w:cs="Times New Roman"/>
        </w:rPr>
      </w:pPr>
      <w:r w:rsidRPr="00F76356">
        <w:rPr>
          <w:rFonts w:cs="Times New Roman"/>
        </w:rPr>
        <w:t>Xu hướng bùng nổ dịch vụ cho vay ngang hàng hiện nay có tác động mạnh mẽ tới các nước đang phát triển, trong đó có Việt Nam. Mô hình này một mặt đáp ứng nhu cầu vốn phi chính thức, đa dạng hóa kênh đầu tư. Mặt khác, đây cũng là giải pháp hữu hiệu giúp cân bằng tài chính, có tác động làm giảm thiểu các tổ chức cho vay nặng lãi đang diễn biến phức tạp tại Việt Nam. Do vậy, hiện nay, Việt Nam rất quan tâm và mong muốn có thể vừa kiểm soát tốt, vừa hỗ trợ cho sự phát triển lành mạnh và bền vững của các loại hình kinh doanh này.</w:t>
      </w:r>
    </w:p>
    <w:p w14:paraId="4872E041" w14:textId="77777777" w:rsidR="007E055C" w:rsidRPr="00F76356" w:rsidRDefault="007E055C" w:rsidP="00DA5916">
      <w:pPr>
        <w:pStyle w:val="0NOIDUNG"/>
        <w:rPr>
          <w:rFonts w:cs="Times New Roman"/>
        </w:rPr>
      </w:pPr>
      <w:r w:rsidRPr="00F76356">
        <w:rPr>
          <w:rFonts w:cs="Times New Roman"/>
        </w:rPr>
        <w:t>Trong khi khả năng tiếp cận nguồn vốn ngân hàng của cả người dân lẫn DN vẫn còn thấp thì xu hướng này cần được khuyến khích và đẩy mạnh phát triển. Việt Nam hiện có các mô hình cho vay ngang hàng theo chiều hướng kết nối thông tin giữa người vay và người cho vay tiêu biểu như: Tima, Mofin, Vaymuon và Huydong.</w:t>
      </w:r>
    </w:p>
    <w:p w14:paraId="7A11FFC4" w14:textId="77777777" w:rsidR="007E055C" w:rsidRPr="00F76356" w:rsidRDefault="007E055C" w:rsidP="00DA5916">
      <w:pPr>
        <w:pStyle w:val="0NOIDUNG"/>
        <w:rPr>
          <w:rFonts w:cs="Times New Roman"/>
        </w:rPr>
      </w:pPr>
      <w:r w:rsidRPr="00F76356">
        <w:rPr>
          <w:rFonts w:cs="Times New Roman"/>
        </w:rPr>
        <w:t>Trong số 4 công ty nêu trên thì các công ty như Mofin, Vaymuon và Huydong được xem như là những công ty tiên phong hướng tới xây dựng một mô hình cho vay ngang hàng bằng tín chấp và vận hành 100% online. Đơn vị còn lại là Tima vẫn còn nhiều thủ tục gặp gỡ trực tiếp giữa nhà đầu tư và người vay và mô hình này còn đang lai ghép giữa tín chấp và thế chấp.</w:t>
      </w:r>
    </w:p>
    <w:p w14:paraId="1F8E0076" w14:textId="77777777" w:rsidR="007E055C" w:rsidRPr="00F76356" w:rsidRDefault="007E055C" w:rsidP="00DA5916">
      <w:pPr>
        <w:pStyle w:val="0NOIDUNG"/>
        <w:rPr>
          <w:rFonts w:cs="Times New Roman"/>
        </w:rPr>
      </w:pPr>
      <w:r w:rsidRPr="00F76356">
        <w:rPr>
          <w:rFonts w:cs="Times New Roman"/>
        </w:rPr>
        <w:t>Theo các chuyên gia công nghệ tài chính ngân hàng, động lực thúc đẩy cho vay ngang hàng ở Việt Nam đến từ tỷ lệ sử dụng Internet và Smartphone gia tăng cùng với nhu cầu vay lớn thúc đẩy mạnh mẽ sự phát triển cho vay ngang hàng tại Việt Nam.</w:t>
      </w:r>
    </w:p>
    <w:p w14:paraId="3F99BC16" w14:textId="77777777" w:rsidR="00B73CC4" w:rsidRDefault="00B73CC4">
      <w:pPr>
        <w:rPr>
          <w:rFonts w:ascii="Times New Roman" w:eastAsiaTheme="minorHAnsi" w:hAnsi="Times New Roman" w:cs="Times New Roman"/>
          <w:b/>
          <w:sz w:val="26"/>
          <w:lang w:eastAsia="en-US"/>
        </w:rPr>
      </w:pPr>
      <w:r>
        <w:rPr>
          <w:rFonts w:cs="Times New Roman"/>
        </w:rPr>
        <w:br w:type="page"/>
      </w:r>
    </w:p>
    <w:p w14:paraId="27AACF0C" w14:textId="6DD6CB99" w:rsidR="00CE0CE1" w:rsidRPr="00F76356" w:rsidRDefault="007E055C" w:rsidP="00DA5916">
      <w:pPr>
        <w:pStyle w:val="0LV2"/>
        <w:rPr>
          <w:rFonts w:cs="Times New Roman"/>
        </w:rPr>
      </w:pPr>
      <w:bookmarkStart w:id="28" w:name="_Toc134387178"/>
      <w:r w:rsidRPr="00F76356">
        <w:rPr>
          <w:rFonts w:cs="Times New Roman"/>
        </w:rPr>
        <w:lastRenderedPageBreak/>
        <w:t>3.</w:t>
      </w:r>
      <w:r w:rsidR="00500F6A">
        <w:rPr>
          <w:rFonts w:cs="Times New Roman"/>
        </w:rPr>
        <w:t>4.</w:t>
      </w:r>
      <w:r w:rsidRPr="00F76356">
        <w:rPr>
          <w:rFonts w:cs="Times New Roman"/>
        </w:rPr>
        <w:t xml:space="preserve"> Xu thế về cho vay ngang hàng tại Việt Nam.</w:t>
      </w:r>
      <w:bookmarkEnd w:id="28"/>
    </w:p>
    <w:p w14:paraId="32ECB76C" w14:textId="77777777" w:rsidR="00CE0CE1" w:rsidRPr="00F76356" w:rsidRDefault="007E055C" w:rsidP="00DA5916">
      <w:pPr>
        <w:pStyle w:val="0NOIDUNG"/>
        <w:rPr>
          <w:rFonts w:cs="Times New Roman"/>
          <w:b/>
          <w:bCs/>
        </w:rPr>
      </w:pPr>
      <w:r w:rsidRPr="00F76356">
        <w:rPr>
          <w:rFonts w:cs="Times New Roman"/>
        </w:rPr>
        <w:t>Tại Việt Nam bắt đầu xuất hiện công ty hoạt động giống mô hình P2P Lending từ năm 2016 với trang huydong.com. Kể từ đó, nhiều công ty P2P Lending khác đã dần đi vào hoạt động, như Tima, SHA, Mobivi, Vaymuon.vn, Mofin…</w:t>
      </w:r>
    </w:p>
    <w:p w14:paraId="2F36411B" w14:textId="77777777" w:rsidR="00CE0CE1" w:rsidRPr="00F76356" w:rsidRDefault="007E055C" w:rsidP="00DA5916">
      <w:pPr>
        <w:pStyle w:val="0NOIDUNG"/>
        <w:rPr>
          <w:rFonts w:cs="Times New Roman"/>
          <w:b/>
          <w:bCs/>
        </w:rPr>
      </w:pPr>
      <w:r w:rsidRPr="00F76356">
        <w:rPr>
          <w:rFonts w:cs="Times New Roman"/>
        </w:rPr>
        <w:t>Theo Báo cáo tài chính khu vực châu Á - Thái Bình Dương lần 3, quy mô của thị trường P2P Lending Việt Nam khá nhỏ so với các nước trong khu vực Đông Nam Á, chiếm 1,6% khối lượng giao dịch của khu vực, chỉ xếp trên Nepal và Kazakhstan (University of Cambridge JBS, 2018). Điều này cũng phù hợp với tuổi đời còn non trẻ của mô hình P2P Lending tại Việt Nam. Tuy nhiên, Việt Nam có nhiều tiềm năng thích hợp cho sự phát triển của mô hình này dựa trên sự phát triển nhanh chóng của khoa học công nghệ, Internet, thiết bị di dộng và đặc biệt là dữ liệu lớn (Big Data). Bên cạnh đó, sự thay đổi về cơ cấu dân số học, đặc biệt là thế hệ trẻ sẵn sàng thích ứng với công nghệ mới và mong muốn được cung cấp các dịch vụ tài chính thuận lợi và nhanh chóng hơn nên dễ dàng chấp nhận các sản phẩm dịch vụ mới như P2P Lending</w:t>
      </w:r>
      <w:r w:rsidRPr="00F76356">
        <w:rPr>
          <w:rFonts w:cs="Times New Roman"/>
          <w:vertAlign w:val="superscript"/>
        </w:rPr>
        <w:t>1</w:t>
      </w:r>
      <w:r w:rsidRPr="00F76356">
        <w:rPr>
          <w:rFonts w:cs="Times New Roman"/>
        </w:rPr>
        <w:t>. </w:t>
      </w:r>
    </w:p>
    <w:p w14:paraId="1E328E37" w14:textId="127BB75E" w:rsidR="007E055C" w:rsidRPr="00F76356" w:rsidRDefault="007E055C" w:rsidP="00DA5916">
      <w:pPr>
        <w:pStyle w:val="0NOIDUNG"/>
        <w:rPr>
          <w:rFonts w:cs="Times New Roman"/>
          <w:b/>
          <w:bCs/>
        </w:rPr>
      </w:pPr>
      <w:r w:rsidRPr="00F76356">
        <w:rPr>
          <w:rFonts w:cs="Times New Roman"/>
        </w:rPr>
        <w:t>Thống kê sơ bộ của Ngân hàng Nhà nước, Việt Nam hiện có khoảng 100 công ty P2P Lending (bao gồm cả công ty đã đi vào hoạt động chính thức và một số công ty đang trong giai đoạn thử nghiệm) như Tima, Trust Circle, Vay mượn, Lendmo, Wecash, InterLoan… (Bảng 1). Tuy nhiên, thực tế số doanh nghiệp hoạt động P2P Lending có thể nhiều hơn và rất khó đo lường một cách chính xác vì hiện nay các cơ quan quản lý chưa tổ chức thống kê chính thức các thông tin liên quan đến doanh nghiệp triển khai hoạt động P2P Lending tại Việt Nam. </w:t>
      </w:r>
    </w:p>
    <w:p w14:paraId="1EEF6341" w14:textId="77777777" w:rsidR="00F76356" w:rsidRPr="00F76356" w:rsidRDefault="00F76356">
      <w:pPr>
        <w:rPr>
          <w:rFonts w:ascii="Times New Roman" w:eastAsiaTheme="minorHAnsi" w:hAnsi="Times New Roman" w:cs="Times New Roman"/>
          <w:i/>
          <w:sz w:val="24"/>
          <w:lang w:eastAsia="en-US"/>
        </w:rPr>
      </w:pPr>
      <w:r w:rsidRPr="00F76356">
        <w:rPr>
          <w:rFonts w:ascii="Times New Roman" w:hAnsi="Times New Roman" w:cs="Times New Roman"/>
        </w:rPr>
        <w:br w:type="page"/>
      </w:r>
    </w:p>
    <w:p w14:paraId="14869B17" w14:textId="623DD0FD" w:rsidR="007E055C" w:rsidRPr="00F76356" w:rsidRDefault="007E055C" w:rsidP="00DA5916">
      <w:pPr>
        <w:pStyle w:val="0BANG"/>
        <w:rPr>
          <w:rFonts w:cs="Times New Roman"/>
        </w:rPr>
      </w:pPr>
      <w:bookmarkStart w:id="29" w:name="_Toc134387197"/>
      <w:r w:rsidRPr="00F76356">
        <w:rPr>
          <w:rFonts w:cs="Times New Roman"/>
        </w:rPr>
        <w:lastRenderedPageBreak/>
        <w:t xml:space="preserve">Bảng </w:t>
      </w:r>
      <w:r w:rsidR="00B73CC4">
        <w:rPr>
          <w:rFonts w:cs="Times New Roman"/>
        </w:rPr>
        <w:t>3.4</w:t>
      </w:r>
      <w:r w:rsidRPr="00F76356">
        <w:rPr>
          <w:rFonts w:cs="Times New Roman"/>
        </w:rPr>
        <w:t xml:space="preserve"> Danh sách một số công ty P2P Lending truyền thống hoạt động tại Việt Nam</w:t>
      </w:r>
      <w:bookmarkEnd w:id="29"/>
    </w:p>
    <w:p w14:paraId="0AF8834C" w14:textId="77777777" w:rsidR="007E055C" w:rsidRPr="00F76356" w:rsidRDefault="007E055C" w:rsidP="00F76356">
      <w:pPr>
        <w:pStyle w:val="NormalWeb"/>
        <w:shd w:val="clear" w:color="auto" w:fill="FFFFFF"/>
        <w:spacing w:line="312" w:lineRule="auto"/>
        <w:ind w:left="0" w:firstLine="0"/>
        <w:rPr>
          <w:b/>
          <w:bCs/>
          <w:sz w:val="26"/>
          <w:szCs w:val="26"/>
        </w:rPr>
      </w:pPr>
      <w:r w:rsidRPr="00F76356">
        <w:rPr>
          <w:i/>
          <w:iCs/>
          <w:noProof/>
          <w:sz w:val="26"/>
          <w:szCs w:val="26"/>
          <w:lang w:eastAsia="zh-CN"/>
        </w:rPr>
        <w:drawing>
          <wp:inline distT="0" distB="0" distL="0" distR="0" wp14:anchorId="7C02E5D9" wp14:editId="57420060">
            <wp:extent cx="5943600" cy="34099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09950"/>
                    </a:xfrm>
                    <a:prstGeom prst="rect">
                      <a:avLst/>
                    </a:prstGeom>
                    <a:noFill/>
                    <a:ln>
                      <a:noFill/>
                    </a:ln>
                  </pic:spPr>
                </pic:pic>
              </a:graphicData>
            </a:graphic>
          </wp:inline>
        </w:drawing>
      </w:r>
    </w:p>
    <w:p w14:paraId="582A5E02" w14:textId="2A72E68C" w:rsidR="007E055C" w:rsidRPr="00F76356" w:rsidRDefault="007E055C" w:rsidP="00DA5916">
      <w:pPr>
        <w:pStyle w:val="0NGUON"/>
        <w:rPr>
          <w:rFonts w:eastAsia="Times New Roman" w:cs="Times New Roman"/>
          <w:sz w:val="26"/>
          <w:szCs w:val="26"/>
        </w:rPr>
      </w:pPr>
      <w:r w:rsidRPr="00F76356">
        <w:rPr>
          <w:rFonts w:eastAsia="Times New Roman" w:cs="Times New Roman"/>
          <w:iCs/>
          <w:sz w:val="26"/>
          <w:szCs w:val="26"/>
        </w:rPr>
        <w:t xml:space="preserve">Nguồn: </w:t>
      </w:r>
      <w:hyperlink r:id="rId14" w:history="1">
        <w:r w:rsidRPr="00F76356">
          <w:rPr>
            <w:rStyle w:val="Hyperlink"/>
            <w:rFonts w:eastAsia="Times New Roman" w:cs="Times New Roman"/>
            <w:iCs/>
            <w:color w:val="auto"/>
            <w:sz w:val="26"/>
            <w:szCs w:val="26"/>
          </w:rPr>
          <w:t>Lender.vn</w:t>
        </w:r>
      </w:hyperlink>
    </w:p>
    <w:p w14:paraId="202214FE" w14:textId="0BF5C194" w:rsidR="006B54B6" w:rsidRPr="00F76356" w:rsidRDefault="007E055C" w:rsidP="00F76356">
      <w:pPr>
        <w:pStyle w:val="0NOIDUNG"/>
        <w:rPr>
          <w:rFonts w:cs="Times New Roman"/>
        </w:rPr>
      </w:pPr>
      <w:r w:rsidRPr="00F76356">
        <w:rPr>
          <w:rFonts w:cs="Times New Roman"/>
        </w:rPr>
        <w:t>Tuy mới xuất hiện và tồn tại khoảng 5 năm, các công ty P2P Lending đã đưa ra các sản phẩm vay vốn trên các nền tảng trực tuyến khá đa dạng, gồm: Vay có tài sản bảo đảm và vay không có tài sản bảo đảm, trong đó chủ yếu là vay không có tài sản bảo đảm. Đối với khoản vay cá nhân, các công ty P2P Lending đưa ra các sản phẩm vay tín chấp theo lương, vay theo sổ hộ khẩu, vay theo đăng ký xe máy, vay trả góp, vay theo hóa đơn điện, nước... Đối với doanh nghiệp (chủ yếu là các doanh nghiệp vừa và nhỏ - SMEs), các công ty P2P Lending cũng đưa ra nhiều sản phẩm, dịch vụ như vay tài trợ các khoản phải thu, tài trợ bên mua hàng, tài trợ vốn lưu động, tài trợ thương mại điện tử... (Bảng 2)</w:t>
      </w:r>
    </w:p>
    <w:p w14:paraId="0895818E" w14:textId="07BAB0EC" w:rsidR="007E055C" w:rsidRPr="00F76356" w:rsidRDefault="007E055C" w:rsidP="00502794">
      <w:pPr>
        <w:spacing w:after="0" w:line="312" w:lineRule="auto"/>
        <w:rPr>
          <w:rFonts w:ascii="Times New Roman" w:eastAsia="Times New Roman" w:hAnsi="Times New Roman" w:cs="Times New Roman"/>
          <w:sz w:val="26"/>
          <w:szCs w:val="26"/>
        </w:rPr>
      </w:pPr>
      <w:r w:rsidRPr="00F76356">
        <w:rPr>
          <w:rFonts w:ascii="Times New Roman" w:eastAsia="Times New Roman" w:hAnsi="Times New Roman" w:cs="Times New Roman"/>
          <w:sz w:val="26"/>
          <w:szCs w:val="26"/>
        </w:rPr>
        <w:t> </w:t>
      </w:r>
    </w:p>
    <w:p w14:paraId="7596ADD5" w14:textId="77777777" w:rsidR="00F76356" w:rsidRPr="00F76356" w:rsidRDefault="00F76356">
      <w:pPr>
        <w:rPr>
          <w:rFonts w:ascii="Times New Roman" w:eastAsiaTheme="minorHAnsi" w:hAnsi="Times New Roman" w:cs="Times New Roman"/>
          <w:i/>
          <w:sz w:val="24"/>
          <w:lang w:eastAsia="en-US"/>
        </w:rPr>
      </w:pPr>
      <w:r w:rsidRPr="00F76356">
        <w:rPr>
          <w:rFonts w:ascii="Times New Roman" w:hAnsi="Times New Roman" w:cs="Times New Roman"/>
        </w:rPr>
        <w:br w:type="page"/>
      </w:r>
    </w:p>
    <w:p w14:paraId="6A97CF11" w14:textId="4D90200B" w:rsidR="007E055C" w:rsidRPr="00F76356" w:rsidRDefault="007E055C" w:rsidP="00F76356">
      <w:pPr>
        <w:pStyle w:val="0BANG"/>
        <w:rPr>
          <w:rFonts w:cs="Times New Roman"/>
        </w:rPr>
      </w:pPr>
      <w:bookmarkStart w:id="30" w:name="_Toc134387198"/>
      <w:r w:rsidRPr="00F76356">
        <w:rPr>
          <w:rFonts w:cs="Times New Roman"/>
        </w:rPr>
        <w:lastRenderedPageBreak/>
        <w:t xml:space="preserve">Bảng </w:t>
      </w:r>
      <w:r w:rsidR="00B73CC4">
        <w:rPr>
          <w:rFonts w:cs="Times New Roman"/>
        </w:rPr>
        <w:t>3.5</w:t>
      </w:r>
      <w:r w:rsidRPr="00F76356">
        <w:rPr>
          <w:rFonts w:cs="Times New Roman"/>
        </w:rPr>
        <w:t>: Số nền tảng P2P Lending theo quốc gia và theo đơn vị tiền tệ</w:t>
      </w:r>
      <w:bookmarkEnd w:id="30"/>
    </w:p>
    <w:p w14:paraId="747F5E8E" w14:textId="3097B765" w:rsidR="007E055C" w:rsidRPr="00F76356" w:rsidRDefault="007E055C" w:rsidP="00F76356">
      <w:pPr>
        <w:spacing w:after="0" w:line="312" w:lineRule="auto"/>
        <w:rPr>
          <w:rFonts w:ascii="Times New Roman" w:hAnsi="Times New Roman" w:cs="Times New Roman"/>
          <w:sz w:val="26"/>
          <w:szCs w:val="26"/>
        </w:rPr>
      </w:pPr>
      <w:r w:rsidRPr="00F76356">
        <w:rPr>
          <w:rFonts w:ascii="Times New Roman" w:eastAsia="Times New Roman" w:hAnsi="Times New Roman" w:cs="Times New Roman"/>
          <w:sz w:val="26"/>
          <w:szCs w:val="26"/>
        </w:rPr>
        <w:t> </w:t>
      </w:r>
      <w:r w:rsidRPr="00F76356">
        <w:rPr>
          <w:rFonts w:ascii="Times New Roman" w:hAnsi="Times New Roman" w:cs="Times New Roman"/>
          <w:i/>
          <w:iCs/>
          <w:noProof/>
          <w:sz w:val="26"/>
          <w:szCs w:val="26"/>
          <w:lang w:eastAsia="zh-CN"/>
        </w:rPr>
        <w:drawing>
          <wp:inline distT="0" distB="0" distL="0" distR="0" wp14:anchorId="1AA63242" wp14:editId="74E2CB91">
            <wp:extent cx="4181475" cy="254381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1475" cy="2543810"/>
                    </a:xfrm>
                    <a:prstGeom prst="rect">
                      <a:avLst/>
                    </a:prstGeom>
                    <a:noFill/>
                    <a:ln>
                      <a:noFill/>
                    </a:ln>
                  </pic:spPr>
                </pic:pic>
              </a:graphicData>
            </a:graphic>
          </wp:inline>
        </w:drawing>
      </w:r>
    </w:p>
    <w:p w14:paraId="555B5B94" w14:textId="1D4FE064" w:rsidR="007E055C" w:rsidRPr="00F76356" w:rsidRDefault="007E055C" w:rsidP="00F76356">
      <w:pPr>
        <w:pStyle w:val="0LV2"/>
        <w:rPr>
          <w:rFonts w:cs="Times New Roman"/>
        </w:rPr>
      </w:pPr>
      <w:bookmarkStart w:id="31" w:name="_Toc134387179"/>
      <w:r w:rsidRPr="00F76356">
        <w:rPr>
          <w:rFonts w:cs="Times New Roman"/>
        </w:rPr>
        <w:t>3.</w:t>
      </w:r>
      <w:r w:rsidR="00500F6A">
        <w:rPr>
          <w:rFonts w:cs="Times New Roman"/>
        </w:rPr>
        <w:t>5.</w:t>
      </w:r>
      <w:r w:rsidRPr="00F76356">
        <w:rPr>
          <w:rFonts w:cs="Times New Roman"/>
        </w:rPr>
        <w:t xml:space="preserve"> Rủi ro, biến tướng của cơ chế cho vay ngang hàng tại Việt Nam.</w:t>
      </w:r>
      <w:bookmarkEnd w:id="31"/>
    </w:p>
    <w:p w14:paraId="59539168" w14:textId="77777777" w:rsidR="006B54B6" w:rsidRPr="00F76356" w:rsidRDefault="007E055C" w:rsidP="00F76356">
      <w:pPr>
        <w:pStyle w:val="0NOIDUNG"/>
        <w:rPr>
          <w:rFonts w:cs="Times New Roman"/>
        </w:rPr>
      </w:pPr>
      <w:r w:rsidRPr="00F76356">
        <w:rPr>
          <w:rFonts w:cs="Times New Roman"/>
        </w:rPr>
        <w:t>Lĩnh vực P2P Lending mới xuất hiện tại Việt Nam với những rủi ro chưa được nhận diện, đánh giá, xác định bản chất một cách đầy đủ, toàn diện và chính xác. Tuy nhiên, nhìn chung rủi ro đối với hoạt động P2P Lending có thể tương tự với các rủi ro trong hoạt động đầu tư tài chính và rủi ro vay nợ ngân hàng truyền thống, mang lại những tác động bất lợi, bất ổn đến an ninh kinh tế và ổn định xã hội. </w:t>
      </w:r>
    </w:p>
    <w:p w14:paraId="32321F33" w14:textId="476370A3" w:rsidR="006B54B6" w:rsidRPr="00F76356" w:rsidRDefault="007E055C" w:rsidP="00F76356">
      <w:pPr>
        <w:pStyle w:val="0NOIDUNG"/>
        <w:rPr>
          <w:rFonts w:cs="Times New Roman"/>
        </w:rPr>
      </w:pPr>
      <w:r w:rsidRPr="00F76356">
        <w:rPr>
          <w:rFonts w:eastAsia="Times New Roman" w:cs="Times New Roman"/>
          <w:szCs w:val="26"/>
        </w:rPr>
        <w:t> </w:t>
      </w:r>
      <w:r w:rsidRPr="00F76356">
        <w:rPr>
          <w:rFonts w:cs="Times New Roman"/>
        </w:rPr>
        <w:t>Qua khảo sát của các chuyên gia, hoạt động P2P Lending ở Việt Nam hiện nay có thể gây ra các rủi ro sau đây cho những người tham gia: Rủi ro tín dụng và rủi ro pháp lý là hai rủi ro lớn nhất khi tham gia vào hoạt động P2P Lending vì hiện nay khung pháp lý chưa được hoàn thiện. Tiếp theo đó là rủi ro liên quan đến vấn đề bảo mật thông tin, về đạo đức cũng như rủi ro trong vận hành công nghệ, và các nền tảng. Cụ thể như sau: (Hình 2)</w:t>
      </w:r>
    </w:p>
    <w:p w14:paraId="0756C0B8" w14:textId="77777777" w:rsidR="00F76356" w:rsidRPr="00F76356" w:rsidRDefault="00F76356">
      <w:pPr>
        <w:rPr>
          <w:rFonts w:ascii="Times New Roman" w:eastAsia="Times New Roman" w:hAnsi="Times New Roman" w:cs="Times New Roman"/>
          <w:sz w:val="26"/>
          <w:szCs w:val="26"/>
        </w:rPr>
      </w:pPr>
      <w:r w:rsidRPr="00F76356">
        <w:rPr>
          <w:rFonts w:ascii="Times New Roman" w:eastAsia="Times New Roman" w:hAnsi="Times New Roman" w:cs="Times New Roman"/>
          <w:sz w:val="26"/>
          <w:szCs w:val="26"/>
        </w:rPr>
        <w:br w:type="page"/>
      </w:r>
    </w:p>
    <w:p w14:paraId="42CA0F46" w14:textId="4BFA8537" w:rsidR="007E055C" w:rsidRPr="00F76356" w:rsidRDefault="007E055C" w:rsidP="00F76356">
      <w:pPr>
        <w:pStyle w:val="0HINH"/>
        <w:rPr>
          <w:rFonts w:cs="Times New Roman"/>
        </w:rPr>
      </w:pPr>
      <w:bookmarkStart w:id="32" w:name="_Toc134387181"/>
      <w:r w:rsidRPr="00F76356">
        <w:rPr>
          <w:rFonts w:cs="Times New Roman"/>
        </w:rPr>
        <w:lastRenderedPageBreak/>
        <w:t xml:space="preserve">Hình </w:t>
      </w:r>
      <w:r w:rsidR="00B73CC4">
        <w:rPr>
          <w:rFonts w:cs="Times New Roman"/>
        </w:rPr>
        <w:t>3.1</w:t>
      </w:r>
      <w:r w:rsidRPr="00F76356">
        <w:rPr>
          <w:rFonts w:cs="Times New Roman"/>
        </w:rPr>
        <w:t>: Mức độ nghiêm trọng của các loại rủi ro trong P2P Lending hiện nay tại Việt Nam</w:t>
      </w:r>
      <w:r w:rsidR="006B54B6" w:rsidRPr="00F76356">
        <w:rPr>
          <w:rFonts w:cs="Times New Roman"/>
        </w:rPr>
        <w:t xml:space="preserve"> </w:t>
      </w:r>
      <w:r w:rsidRPr="00F76356">
        <w:rPr>
          <w:rFonts w:cs="Times New Roman"/>
        </w:rPr>
        <w:t>(Điểm trung bình từ các chuyên gia)</w:t>
      </w:r>
      <w:bookmarkEnd w:id="32"/>
    </w:p>
    <w:p w14:paraId="21A826E2" w14:textId="77777777" w:rsidR="006B54B6" w:rsidRPr="00F76356" w:rsidRDefault="007E055C" w:rsidP="00502794">
      <w:pPr>
        <w:pStyle w:val="NormalWeb"/>
        <w:shd w:val="clear" w:color="auto" w:fill="FFFFFF"/>
        <w:spacing w:line="312" w:lineRule="auto"/>
        <w:rPr>
          <w:i/>
          <w:iCs/>
          <w:sz w:val="26"/>
          <w:szCs w:val="26"/>
        </w:rPr>
      </w:pPr>
      <w:r w:rsidRPr="00F76356">
        <w:rPr>
          <w:noProof/>
          <w:sz w:val="26"/>
          <w:szCs w:val="26"/>
          <w:lang w:eastAsia="zh-CN"/>
        </w:rPr>
        <w:drawing>
          <wp:inline distT="0" distB="0" distL="0" distR="0" wp14:anchorId="3BA85F5B" wp14:editId="455EEC44">
            <wp:extent cx="4188460" cy="2345055"/>
            <wp:effectExtent l="0" t="0" r="0" b="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460" cy="2345055"/>
                    </a:xfrm>
                    <a:prstGeom prst="rect">
                      <a:avLst/>
                    </a:prstGeom>
                    <a:noFill/>
                    <a:ln>
                      <a:noFill/>
                    </a:ln>
                  </pic:spPr>
                </pic:pic>
              </a:graphicData>
            </a:graphic>
          </wp:inline>
        </w:drawing>
      </w:r>
    </w:p>
    <w:p w14:paraId="37DB6EC0" w14:textId="3798D114" w:rsidR="007E055C" w:rsidRPr="00F76356" w:rsidRDefault="006B54B6" w:rsidP="00DA5916">
      <w:pPr>
        <w:pStyle w:val="0NGUON"/>
        <w:rPr>
          <w:rFonts w:cs="Times New Roman"/>
        </w:rPr>
      </w:pPr>
      <w:r w:rsidRPr="00F76356">
        <w:rPr>
          <w:rFonts w:cs="Times New Roman"/>
        </w:rPr>
        <w:t xml:space="preserve">                    </w:t>
      </w:r>
      <w:r w:rsidR="007E055C" w:rsidRPr="00F76356">
        <w:rPr>
          <w:rFonts w:cs="Times New Roman"/>
        </w:rPr>
        <w:t>Nguồn: Dữ liệu thu thập từ khảo sát</w:t>
      </w:r>
    </w:p>
    <w:p w14:paraId="3EAB6C29" w14:textId="77777777" w:rsidR="006B54B6" w:rsidRPr="00F76356" w:rsidRDefault="007E055C" w:rsidP="00DA5916">
      <w:pPr>
        <w:pStyle w:val="0NOIDUNG"/>
        <w:rPr>
          <w:rFonts w:cs="Times New Roman"/>
        </w:rPr>
      </w:pPr>
      <w:r w:rsidRPr="00F76356">
        <w:rPr>
          <w:rFonts w:cs="Times New Roman"/>
        </w:rPr>
        <w:t>a) Rủi ro pháp lý</w:t>
      </w:r>
    </w:p>
    <w:p w14:paraId="189E80EA" w14:textId="33DB2652" w:rsidR="006B54B6" w:rsidRPr="00F76356" w:rsidRDefault="007E055C" w:rsidP="00F76356">
      <w:pPr>
        <w:pStyle w:val="0NOIDUNG"/>
        <w:rPr>
          <w:rFonts w:cs="Times New Roman"/>
        </w:rPr>
      </w:pPr>
      <w:r w:rsidRPr="00F76356">
        <w:rPr>
          <w:rFonts w:cs="Times New Roman"/>
        </w:rPr>
        <w:t>Hiện nay, Việt Nam chưa có khung khổ pháp lý điều chỉnh, thiếu sự quản lý, giám sát của cơ quan quản lý dẫn đến tình trạng khách hàng không được bảo vệ quyền lợi thỏa đáng, với một hệ sinh thái như vậy, người cho vay trên hệ thống P2P Lending phải đối mặt với rủi ro mất tiền do người đi vay không thực hiện đúng thỏa thuận, lừa đảo; hoặc công ty vận hành P2P Lending thực hiện không đúng, không đủ các thủ tục xác định thông tin khách hàng vay và phòng, chống rửa tiền (AML) và trên thực tế hiện nay, đa số các sàn P2P Lending đều quy định việc thực hiện các nghĩa vụ đối với người đầu tư thuộc trách nhiệm của người đi vay mà không có bất kỳ liên đới trách nhiệm nào đến các công ty P2P. </w:t>
      </w:r>
    </w:p>
    <w:p w14:paraId="6BDD36B5" w14:textId="77777777" w:rsidR="006B54B6" w:rsidRPr="00F76356" w:rsidRDefault="007E055C" w:rsidP="00DA5916">
      <w:pPr>
        <w:pStyle w:val="0NOIDUNG"/>
        <w:rPr>
          <w:rFonts w:cs="Times New Roman"/>
        </w:rPr>
      </w:pPr>
      <w:r w:rsidRPr="00F76356">
        <w:rPr>
          <w:rFonts w:cs="Times New Roman"/>
        </w:rPr>
        <w:t>b) Rủi ro tín dụng</w:t>
      </w:r>
    </w:p>
    <w:p w14:paraId="36F5284F" w14:textId="0710E7C6" w:rsidR="006B54B6" w:rsidRPr="00F76356" w:rsidRDefault="007E055C" w:rsidP="00F76356">
      <w:pPr>
        <w:pStyle w:val="0NOIDUNG"/>
        <w:rPr>
          <w:rFonts w:cs="Times New Roman"/>
        </w:rPr>
      </w:pPr>
      <w:r w:rsidRPr="00F76356">
        <w:rPr>
          <w:rFonts w:cs="Times New Roman"/>
        </w:rPr>
        <w:t xml:space="preserve">Thỏa thuận giữa các bên tham gia mô hình P2P Lending (công ty  P2P Lending và người cho vay, công ty P2P Lending và bên thứ ba, công ty P2P Lending và khách hàng vay…) còn thiếu rõ ràng, thiếu ràng buộc có tính pháp lý, cũng như chưa có cơ chế giám sát, hậu kiểm đối với việc sử dụng, quản lý vốn vay đúng mục đích của người đi vay, nên người cho vay có nguy cơ mất tài sản, dẫn đến rất nhiều tranh chấp, khiếu kiện kéo dài giữa các bên đối với các thỏa thuận và giao dịch dân sự lỏng lẻo nêu trên, từ đó tạo áp lực rất lớn cho các cơ quan quản lý nhà nước, các cơ quan tư pháp trong việc theo đuổi, xét xử các vụ kiện, đặc biệt là các vụ khiếu kiện tập thể, đông người kéo dài. Đây là kinh </w:t>
      </w:r>
      <w:r w:rsidRPr="00F76356">
        <w:rPr>
          <w:rFonts w:cs="Times New Roman"/>
        </w:rPr>
        <w:lastRenderedPageBreak/>
        <w:t>nghiệm và cái giá phải trả khá đắt tại một số nền kinh tế thời gian qua, đặc biệt là tại Trung Quốc.</w:t>
      </w:r>
    </w:p>
    <w:p w14:paraId="190485E7" w14:textId="5E523046" w:rsidR="006B54B6" w:rsidRPr="00F76356" w:rsidRDefault="007E055C" w:rsidP="00DA5916">
      <w:pPr>
        <w:pStyle w:val="0NOIDUNG"/>
        <w:rPr>
          <w:rFonts w:cs="Times New Roman"/>
        </w:rPr>
      </w:pPr>
      <w:r w:rsidRPr="00F76356">
        <w:rPr>
          <w:rFonts w:cs="Times New Roman"/>
          <w:i/>
          <w:iCs/>
        </w:rPr>
        <w:t>c) Rủi ro do liên quan đến hoạt động bất hợp pháp</w:t>
      </w:r>
    </w:p>
    <w:p w14:paraId="3B14E011" w14:textId="1212D270" w:rsidR="006B54B6" w:rsidRPr="00F76356" w:rsidRDefault="007E055C" w:rsidP="00DA5916">
      <w:pPr>
        <w:pStyle w:val="0NOIDUNG"/>
        <w:rPr>
          <w:rFonts w:cs="Times New Roman"/>
        </w:rPr>
      </w:pPr>
      <w:r w:rsidRPr="00F76356">
        <w:rPr>
          <w:rFonts w:cs="Times New Roman"/>
        </w:rPr>
        <w:t>Mô hình P2P Lending dễ trở thành công cụ cho một số đối tượng tiến hành trốn thuế, rửa tiền, tài trợ khủng bố… vì các cơ quan chức năng khó kiểm soát nguồn gốc luồng tiền, danh tính, mục đích.</w:t>
      </w:r>
    </w:p>
    <w:p w14:paraId="22DB782A" w14:textId="182794C3" w:rsidR="006B54B6" w:rsidRPr="00F76356" w:rsidRDefault="007E055C" w:rsidP="00DA5916">
      <w:pPr>
        <w:pStyle w:val="0NOIDUNG"/>
        <w:rPr>
          <w:rFonts w:cs="Times New Roman"/>
        </w:rPr>
      </w:pPr>
      <w:r w:rsidRPr="00F76356">
        <w:rPr>
          <w:rFonts w:cs="Times New Roman"/>
          <w:i/>
          <w:iCs/>
        </w:rPr>
        <w:t>d) Rủi ro bảo mật</w:t>
      </w:r>
    </w:p>
    <w:p w14:paraId="35190904" w14:textId="4E98DAC0" w:rsidR="006B54B6" w:rsidRPr="00F76356" w:rsidRDefault="007E055C" w:rsidP="00F76356">
      <w:pPr>
        <w:pStyle w:val="0NOIDUNG"/>
        <w:rPr>
          <w:rFonts w:cs="Times New Roman"/>
        </w:rPr>
      </w:pPr>
      <w:r w:rsidRPr="00F76356">
        <w:rPr>
          <w:rFonts w:cs="Times New Roman"/>
        </w:rPr>
        <w:t>Mô hình P2P Lending mới được hình thành và phát triển gần đây tại Việt Nam, nên nhiều ứng dụng P2P Lending chưa được hoàn thiện, cũng như chưa đáp ứng các tiêu chí về an toàn bảo mật dẫn tới nhiều lỗ hổng bảo mật còn tồn tại trước nguy cơ bị tấn công mạng, đánh cắp thông tin, lộ, lọt, rò rỉ dữ liệu tài khoản, có thể gây thiệt hại cho các bên tham gia. Trường hợp các nền tảng P2P Lending bị mất dữ liệu hoặc các rủi ro công nghệ liên quan thì khả năng người cho vay mất trắng các khoản đầu tư là rất cao (vì không có cơ sở, bằng chứng ghi nhận lại các khoản cho vay mà người cho vay đã tiến hành cho vay). Bên cạnh đó, các công ty Fintech hầu hết khởi nguồn là các công ty khởi nghiệp non trẻ, không có hoặc chưa thiết lập bộ phận kiểm soát tuân thủ, thiếu sự kiểm soát, giám sát về mặt quy trình hoạt động (như yêu cầu kỹ thuật, yêu cầu về vốn và khung khổ kiểm soát các rủi ro trong hoạt động...) nên hoạt động của các công ty tiềm ẩn rủi ro dẫn tới thiệt hại, tổn thất cho khách hàng, gây mất niềm tin của công chúng vào lĩnh vực non trẻ này. </w:t>
      </w:r>
    </w:p>
    <w:p w14:paraId="4F6B7D29" w14:textId="5E160567" w:rsidR="006B54B6" w:rsidRPr="00F76356" w:rsidRDefault="007E055C" w:rsidP="00F76356">
      <w:pPr>
        <w:pStyle w:val="0NOIDUNG"/>
        <w:rPr>
          <w:rFonts w:cs="Times New Roman"/>
          <w:i/>
        </w:rPr>
      </w:pPr>
      <w:r w:rsidRPr="00F76356">
        <w:rPr>
          <w:rFonts w:cs="Times New Roman"/>
          <w:i/>
        </w:rPr>
        <w:t>e) Các rủi ro khác như rủi ro đạo đức, vận hành</w:t>
      </w:r>
    </w:p>
    <w:p w14:paraId="3F1D8A31" w14:textId="0DDA255A" w:rsidR="006B54B6" w:rsidRPr="00F76356" w:rsidRDefault="007E055C" w:rsidP="00F76356">
      <w:pPr>
        <w:pStyle w:val="0NOIDUNG"/>
        <w:rPr>
          <w:rFonts w:cs="Times New Roman"/>
        </w:rPr>
      </w:pPr>
      <w:r w:rsidRPr="00F76356">
        <w:rPr>
          <w:rFonts w:eastAsia="Times New Roman" w:cs="Times New Roman"/>
          <w:szCs w:val="26"/>
        </w:rPr>
        <w:t> </w:t>
      </w:r>
      <w:r w:rsidRPr="00F76356">
        <w:rPr>
          <w:rFonts w:cs="Times New Roman"/>
        </w:rPr>
        <w:t>Không chỉ tại Việt Nam mà tại nhiều nước trên thế giới (đặc biệt là các trường hợp phát sinh tại Trung Quốc), một số nền tảng P2P Lending đã tận dụng sự nhầm lẫn, thiếu thông tin, thiếu hiểu biết của người dân để quảng cáo và đưa ra thông tin lập lờ, không rõ ràng dẫn đến người cho vay hiểu nhầm các hoạt động đầu tư/cho vay qua các nền tảng P2P Lending là một hình thức gửi tiền có sự quản lý và bảo hiểm của Nhà nước. Khi người cho vay bị mất trắng các khoản đầu tư mà không được Nhà nước bảo hiểm như các khoản tiền gửi thông thường của hệ thống ngân hàng đã để lại các hệ lụy, bất ổn xã hội kéo dài rất nghiêm trọng.</w:t>
      </w:r>
    </w:p>
    <w:p w14:paraId="455C92D1" w14:textId="69AD7990" w:rsidR="007E055C" w:rsidRPr="00F76356" w:rsidRDefault="007E055C" w:rsidP="00DA5916">
      <w:pPr>
        <w:pStyle w:val="0NOIDUNG"/>
        <w:rPr>
          <w:rFonts w:cs="Times New Roman"/>
        </w:rPr>
      </w:pPr>
      <w:r w:rsidRPr="00F76356">
        <w:rPr>
          <w:rFonts w:cs="Times New Roman"/>
        </w:rPr>
        <w:lastRenderedPageBreak/>
        <w:t> </w:t>
      </w:r>
    </w:p>
    <w:p w14:paraId="4081B288" w14:textId="77777777" w:rsidR="006B54B6" w:rsidRPr="00F76356" w:rsidRDefault="007E055C" w:rsidP="00DA5916">
      <w:pPr>
        <w:pStyle w:val="0NOIDUNG"/>
        <w:rPr>
          <w:rFonts w:cs="Times New Roman"/>
        </w:rPr>
      </w:pPr>
      <w:r w:rsidRPr="00F76356">
        <w:rPr>
          <w:rFonts w:cs="Times New Roman"/>
        </w:rPr>
        <w:t>Mô hình P2P Lending mới phát triển mạnh mẽ trong thời gian gần đây và nhiều nền tảng P2P Lending đưa ra các quảng cáo sai lệch sự thật, hứa hẹn lợi nhuận cao, lãi suất cạnh tranh, để đánh vào điểm yếu là lòng tham của người cho vay. Trong các trường hợp đó, các bên tham gia mô hình P2P Lending dựa vào niềm tin, sự tín nhiệm, chỉ thấy những ưu điểm nổi bật được một số nền tảng P2P Lending quảng cáo sai sự thật, thậm chí lừa đảo mà chưa hiểu rõ bản chất, rủi ro của mô hình này nên chưa có ý thức bảo vệ được quyền lợi của mình. Dẫn đến khi phát sinh các rủi ro liên quan thì người cho vay/người đi vay bị mất trắng các khoản tiền đầu tư mà không truy đòi được bất kỳ trách nhiệm nào từ các nền tảng P2P Lending này.</w:t>
      </w:r>
    </w:p>
    <w:p w14:paraId="17F30187" w14:textId="1E30CF32" w:rsidR="006B54B6" w:rsidRPr="00F76356" w:rsidRDefault="007E055C" w:rsidP="00DA5916">
      <w:pPr>
        <w:pStyle w:val="0NOIDUNG"/>
        <w:rPr>
          <w:rFonts w:cs="Times New Roman"/>
        </w:rPr>
      </w:pPr>
      <w:r w:rsidRPr="00F76356">
        <w:rPr>
          <w:rFonts w:cs="Times New Roman"/>
        </w:rPr>
        <w:t>Một số mô hình P2P Lending bị lợi dụng, biến tướng thành huy động tài chính đa cấp, lừa đảo, hình thức biến tướng của tín dụng đen, đòi nợ phi pháp và người cho vay, người đi vay dễ trở thành công cụ, nạn nhân của hành vi lừa đảo, rửa tiền hoặc chịu mức lãi suất (cộng phí) rất cao, thậm chí có thể cao hơn nhiều so với lãi suất cho vay tại các TCTD. </w:t>
      </w:r>
    </w:p>
    <w:p w14:paraId="515817EE" w14:textId="1FBE4F8E" w:rsidR="006B54B6" w:rsidRPr="00F76356" w:rsidRDefault="007E055C" w:rsidP="00DA5916">
      <w:pPr>
        <w:pStyle w:val="0NOIDUNG"/>
        <w:rPr>
          <w:rFonts w:cs="Times New Roman"/>
        </w:rPr>
      </w:pPr>
      <w:r w:rsidRPr="00F76356">
        <w:rPr>
          <w:rFonts w:cs="Times New Roman"/>
        </w:rPr>
        <w:t>Tất cả các vấn đề thực trạng ngành công nghiệp P2P Lending trên thế giới được tổng kết đến nay cũng là những vấn đề tương tự mà các nền tảng P2P Lending tại Việt Nam đang gặp phải trong bối cảnh khung pháp luật tại Việt Nam chưa có quy định cụ thể nhưng cũng không có quy định cấm đối với hoạt động này. </w:t>
      </w:r>
    </w:p>
    <w:p w14:paraId="2BA26EEB" w14:textId="5F03D202" w:rsidR="007E055C" w:rsidRPr="00F76356" w:rsidRDefault="007E055C" w:rsidP="00DA5916">
      <w:pPr>
        <w:pStyle w:val="0NOIDUNG"/>
        <w:rPr>
          <w:rFonts w:cs="Times New Roman"/>
        </w:rPr>
      </w:pPr>
      <w:r w:rsidRPr="00F76356">
        <w:rPr>
          <w:rFonts w:cs="Times New Roman"/>
        </w:rPr>
        <w:t>Tuy nhiên, NHNN đã rất quan tâm đến lĩnh vực này, cụ thể, tại Công văn số 5228/NHNN-CSTT ngày 08/7/2019, NHNN đã lưu ý đối với các TCTD, chi nhánh ngân hàng nước ngoài về hoạt động P2P Lending.</w:t>
      </w:r>
    </w:p>
    <w:p w14:paraId="1185FB86" w14:textId="77777777" w:rsidR="007E055C" w:rsidRPr="00F76356" w:rsidRDefault="007E055C" w:rsidP="00502794">
      <w:pPr>
        <w:pStyle w:val="NormalWeb"/>
        <w:shd w:val="clear" w:color="auto" w:fill="FFFFFF"/>
        <w:spacing w:before="0" w:after="0" w:line="312" w:lineRule="auto"/>
        <w:textAlignment w:val="baseline"/>
        <w:rPr>
          <w:sz w:val="26"/>
          <w:szCs w:val="26"/>
        </w:rPr>
      </w:pPr>
    </w:p>
    <w:p w14:paraId="00E42AD2" w14:textId="77777777" w:rsidR="00F76356" w:rsidRDefault="00F76356">
      <w:pPr>
        <w:rPr>
          <w:rFonts w:ascii="Times New Roman" w:eastAsiaTheme="minorHAnsi" w:hAnsi="Times New Roman" w:cs="Times New Roman"/>
          <w:b/>
          <w:sz w:val="26"/>
          <w:lang w:eastAsia="en-US"/>
        </w:rPr>
      </w:pPr>
      <w:r>
        <w:rPr>
          <w:rFonts w:cs="Times New Roman"/>
          <w:b/>
        </w:rPr>
        <w:br w:type="page"/>
      </w:r>
    </w:p>
    <w:p w14:paraId="2CB82791" w14:textId="671E8C9F" w:rsidR="00CE0CE1" w:rsidRDefault="00F76356" w:rsidP="00DA5916">
      <w:pPr>
        <w:pStyle w:val="0NOIDUNG"/>
        <w:jc w:val="center"/>
        <w:rPr>
          <w:rFonts w:cs="Times New Roman"/>
          <w:b/>
        </w:rPr>
      </w:pPr>
      <w:r>
        <w:rPr>
          <w:rFonts w:cs="Times New Roman"/>
          <w:b/>
        </w:rPr>
        <w:lastRenderedPageBreak/>
        <w:t>KẾT LUẬN</w:t>
      </w:r>
    </w:p>
    <w:p w14:paraId="3840E2A4" w14:textId="44474A3F" w:rsidR="00700F72" w:rsidRPr="00F76356" w:rsidRDefault="007E055C" w:rsidP="00DA5916">
      <w:pPr>
        <w:pStyle w:val="0NOIDUNG"/>
        <w:rPr>
          <w:rFonts w:cs="Times New Roman"/>
          <w:b/>
          <w:bCs/>
        </w:rPr>
      </w:pPr>
      <w:r w:rsidRPr="00F76356">
        <w:rPr>
          <w:rFonts w:cs="Times New Roman"/>
        </w:rPr>
        <w:t xml:space="preserve">Sau khi nghiên cứu đề tài “Hoạt động cho vay ngang hàng (P2P lending) - kinh nghiệm phát triển trên thế giới và bài học kinh nghiệm cho Việt Nam” có thể rút ra </w:t>
      </w:r>
      <w:r w:rsidR="00F76356">
        <w:rPr>
          <w:rFonts w:cs="Times New Roman"/>
        </w:rPr>
        <w:t xml:space="preserve">được </w:t>
      </w:r>
      <w:r w:rsidRPr="00F76356">
        <w:rPr>
          <w:rFonts w:cs="Times New Roman"/>
        </w:rPr>
        <w:t>một số kết luận sau</w:t>
      </w:r>
      <w:r w:rsidRPr="00F76356">
        <w:rPr>
          <w:rFonts w:cs="Times New Roman"/>
          <w:spacing w:val="-11"/>
        </w:rPr>
        <w:t xml:space="preserve"> </w:t>
      </w:r>
      <w:r w:rsidRPr="00F76356">
        <w:rPr>
          <w:rFonts w:cs="Times New Roman"/>
        </w:rPr>
        <w:t>đây:</w:t>
      </w:r>
    </w:p>
    <w:p w14:paraId="20CC08D7" w14:textId="77777777" w:rsidR="00700F72" w:rsidRPr="00F76356" w:rsidRDefault="007E055C" w:rsidP="00DA5916">
      <w:pPr>
        <w:pStyle w:val="0NOIDUNG"/>
        <w:rPr>
          <w:rFonts w:cs="Times New Roman"/>
        </w:rPr>
      </w:pPr>
      <w:r w:rsidRPr="00F76356">
        <w:rPr>
          <w:rFonts w:cs="Times New Roman"/>
        </w:rPr>
        <w:t xml:space="preserve">Về bản chất, cho vay ngang hàng là quan hệ vay và cho vay trực tiếp giữa bên cho vay (Nhà đầu tư ) và bên đi vay, và quá trình cho vay đƣợc thực hiện trực tuyến hoặc </w:t>
      </w:r>
      <w:r w:rsidRPr="00F76356">
        <w:rPr>
          <w:rFonts w:cs="Times New Roman"/>
          <w:spacing w:val="-9"/>
        </w:rPr>
        <w:t xml:space="preserve">ngoại </w:t>
      </w:r>
      <w:r w:rsidRPr="00F76356">
        <w:rPr>
          <w:rFonts w:cs="Times New Roman"/>
        </w:rPr>
        <w:t xml:space="preserve">tuyến thông qua các nền tảng cho vay ngang hàng. Các công ty cho vay ngang hàng thường không phải </w:t>
      </w:r>
      <w:r w:rsidRPr="00F76356">
        <w:rPr>
          <w:rFonts w:cs="Times New Roman"/>
          <w:spacing w:val="-26"/>
        </w:rPr>
        <w:t xml:space="preserve">l à  </w:t>
      </w:r>
      <w:r w:rsidRPr="00F76356">
        <w:rPr>
          <w:rFonts w:cs="Times New Roman"/>
        </w:rPr>
        <w:t>nhà đầu tư trực tiếp cho vay tiền, mà họ tạo ra không gian kết nối các bên tham gia, đồng thời cung cấp các dịch vụ đơn giản hóa quá trình vay và cho</w:t>
      </w:r>
      <w:r w:rsidRPr="00F76356">
        <w:rPr>
          <w:rFonts w:cs="Times New Roman"/>
          <w:spacing w:val="-17"/>
        </w:rPr>
        <w:t xml:space="preserve"> </w:t>
      </w:r>
      <w:r w:rsidRPr="00F76356">
        <w:rPr>
          <w:rFonts w:cs="Times New Roman"/>
        </w:rPr>
        <w:t>vay.</w:t>
      </w:r>
    </w:p>
    <w:p w14:paraId="0CDF009D" w14:textId="45EADE70" w:rsidR="00700F72" w:rsidRPr="00F76356" w:rsidRDefault="007E055C" w:rsidP="00DA5916">
      <w:pPr>
        <w:pStyle w:val="0NOIDUNG"/>
        <w:rPr>
          <w:rFonts w:cs="Times New Roman"/>
        </w:rPr>
      </w:pPr>
      <w:r w:rsidRPr="00F76356">
        <w:rPr>
          <w:rFonts w:cs="Times New Roman"/>
        </w:rPr>
        <w:t>Đặc điểm tiêu biểu của hoạt động cho vay ngang hàng là sự nhanh chóng và thuận tiện cho</w:t>
      </w:r>
      <w:r w:rsidRPr="00F76356">
        <w:rPr>
          <w:rFonts w:cs="Times New Roman"/>
          <w:spacing w:val="-6"/>
        </w:rPr>
        <w:t xml:space="preserve"> </w:t>
      </w:r>
      <w:r w:rsidRPr="00F76356">
        <w:rPr>
          <w:rFonts w:cs="Times New Roman"/>
        </w:rPr>
        <w:t>các</w:t>
      </w:r>
      <w:r w:rsidRPr="00F76356">
        <w:rPr>
          <w:rFonts w:cs="Times New Roman"/>
          <w:spacing w:val="-4"/>
        </w:rPr>
        <w:t xml:space="preserve"> </w:t>
      </w:r>
      <w:r w:rsidRPr="00F76356">
        <w:rPr>
          <w:rFonts w:cs="Times New Roman"/>
        </w:rPr>
        <w:t>bên</w:t>
      </w:r>
      <w:r w:rsidRPr="00F76356">
        <w:rPr>
          <w:rFonts w:cs="Times New Roman"/>
          <w:spacing w:val="-5"/>
        </w:rPr>
        <w:t xml:space="preserve"> </w:t>
      </w:r>
      <w:r w:rsidRPr="00F76356">
        <w:rPr>
          <w:rFonts w:cs="Times New Roman"/>
        </w:rPr>
        <w:t>tham</w:t>
      </w:r>
      <w:r w:rsidRPr="00F76356">
        <w:rPr>
          <w:rFonts w:cs="Times New Roman"/>
          <w:spacing w:val="-8"/>
        </w:rPr>
        <w:t xml:space="preserve"> </w:t>
      </w:r>
      <w:r w:rsidRPr="00F76356">
        <w:rPr>
          <w:rFonts w:cs="Times New Roman"/>
        </w:rPr>
        <w:t>gia.</w:t>
      </w:r>
      <w:r w:rsidRPr="00F76356">
        <w:rPr>
          <w:rFonts w:cs="Times New Roman"/>
          <w:spacing w:val="-4"/>
        </w:rPr>
        <w:t xml:space="preserve"> </w:t>
      </w:r>
      <w:r w:rsidRPr="00F76356">
        <w:rPr>
          <w:rFonts w:cs="Times New Roman"/>
        </w:rPr>
        <w:t>Tính</w:t>
      </w:r>
      <w:r w:rsidRPr="00F76356">
        <w:rPr>
          <w:rFonts w:cs="Times New Roman"/>
          <w:spacing w:val="-6"/>
        </w:rPr>
        <w:t xml:space="preserve"> </w:t>
      </w:r>
      <w:r w:rsidRPr="00F76356">
        <w:rPr>
          <w:rFonts w:cs="Times New Roman"/>
        </w:rPr>
        <w:t>nhanh</w:t>
      </w:r>
      <w:r w:rsidRPr="00F76356">
        <w:rPr>
          <w:rFonts w:cs="Times New Roman"/>
          <w:spacing w:val="-5"/>
        </w:rPr>
        <w:t xml:space="preserve"> </w:t>
      </w:r>
      <w:r w:rsidRPr="00F76356">
        <w:rPr>
          <w:rFonts w:cs="Times New Roman"/>
        </w:rPr>
        <w:t>chóng</w:t>
      </w:r>
      <w:r w:rsidRPr="00F76356">
        <w:rPr>
          <w:rFonts w:cs="Times New Roman"/>
          <w:spacing w:val="-4"/>
        </w:rPr>
        <w:t xml:space="preserve"> </w:t>
      </w:r>
      <w:r w:rsidRPr="00F76356">
        <w:rPr>
          <w:rFonts w:cs="Times New Roman"/>
        </w:rPr>
        <w:t>và</w:t>
      </w:r>
      <w:r w:rsidRPr="00F76356">
        <w:rPr>
          <w:rFonts w:cs="Times New Roman"/>
          <w:spacing w:val="-5"/>
        </w:rPr>
        <w:t xml:space="preserve"> </w:t>
      </w:r>
      <w:r w:rsidRPr="00F76356">
        <w:rPr>
          <w:rFonts w:cs="Times New Roman"/>
        </w:rPr>
        <w:t>thuận</w:t>
      </w:r>
      <w:r w:rsidRPr="00F76356">
        <w:rPr>
          <w:rFonts w:cs="Times New Roman"/>
          <w:spacing w:val="-6"/>
        </w:rPr>
        <w:t xml:space="preserve"> </w:t>
      </w:r>
      <w:r w:rsidRPr="00F76356">
        <w:rPr>
          <w:rFonts w:cs="Times New Roman"/>
        </w:rPr>
        <w:t>tiện</w:t>
      </w:r>
      <w:r w:rsidRPr="00F76356">
        <w:rPr>
          <w:rFonts w:cs="Times New Roman"/>
          <w:spacing w:val="-5"/>
        </w:rPr>
        <w:t xml:space="preserve"> </w:t>
      </w:r>
      <w:r w:rsidRPr="00F76356">
        <w:rPr>
          <w:rFonts w:cs="Times New Roman"/>
        </w:rPr>
        <w:t>của</w:t>
      </w:r>
      <w:r w:rsidRPr="00F76356">
        <w:rPr>
          <w:rFonts w:cs="Times New Roman"/>
          <w:spacing w:val="-3"/>
        </w:rPr>
        <w:t xml:space="preserve"> </w:t>
      </w:r>
      <w:r w:rsidRPr="00F76356">
        <w:rPr>
          <w:rFonts w:cs="Times New Roman"/>
        </w:rPr>
        <w:t>cho vay ngang hàng</w:t>
      </w:r>
      <w:r w:rsidRPr="00F76356">
        <w:rPr>
          <w:rFonts w:cs="Times New Roman"/>
          <w:spacing w:val="-6"/>
        </w:rPr>
        <w:t xml:space="preserve"> </w:t>
      </w:r>
      <w:r w:rsidRPr="00F76356">
        <w:rPr>
          <w:rFonts w:cs="Times New Roman"/>
        </w:rPr>
        <w:t>được</w:t>
      </w:r>
      <w:r w:rsidRPr="00F76356">
        <w:rPr>
          <w:rFonts w:cs="Times New Roman"/>
          <w:spacing w:val="-5"/>
        </w:rPr>
        <w:t xml:space="preserve"> </w:t>
      </w:r>
      <w:r w:rsidRPr="00F76356">
        <w:rPr>
          <w:rFonts w:cs="Times New Roman"/>
        </w:rPr>
        <w:t>thể</w:t>
      </w:r>
      <w:r w:rsidRPr="00F76356">
        <w:rPr>
          <w:rFonts w:cs="Times New Roman"/>
          <w:spacing w:val="-6"/>
        </w:rPr>
        <w:t xml:space="preserve"> </w:t>
      </w:r>
      <w:r w:rsidRPr="00F76356">
        <w:rPr>
          <w:rFonts w:cs="Times New Roman"/>
        </w:rPr>
        <w:t>hiện</w:t>
      </w:r>
      <w:r w:rsidRPr="00F76356">
        <w:rPr>
          <w:rFonts w:cs="Times New Roman"/>
          <w:spacing w:val="-7"/>
        </w:rPr>
        <w:t xml:space="preserve"> </w:t>
      </w:r>
      <w:r w:rsidRPr="00F76356">
        <w:rPr>
          <w:rFonts w:cs="Times New Roman"/>
          <w:spacing w:val="-12"/>
        </w:rPr>
        <w:t xml:space="preserve">chủ </w:t>
      </w:r>
      <w:r w:rsidRPr="00F76356">
        <w:rPr>
          <w:rFonts w:cs="Times New Roman"/>
        </w:rPr>
        <w:t xml:space="preserve">yếu ở các mặt: quá trình tham gia giao dịch chủ yếu thông qua mạng internet; không bị hạn chế bởi thời gian và không gian; thời gian và thủ tục đầu tƣ cũng như đi </w:t>
      </w:r>
      <w:r w:rsidRPr="00F76356">
        <w:rPr>
          <w:rFonts w:cs="Times New Roman"/>
          <w:spacing w:val="-32"/>
        </w:rPr>
        <w:t xml:space="preserve">v a y  </w:t>
      </w:r>
      <w:r w:rsidRPr="00F76356">
        <w:rPr>
          <w:rFonts w:cs="Times New Roman"/>
        </w:rPr>
        <w:t xml:space="preserve">ngắn; đáp ứng đƣợc nhu cầu đầu tƣ và vay vốn đa dạng. Đặc điểm này của </w:t>
      </w:r>
      <w:r w:rsidRPr="00F76356">
        <w:rPr>
          <w:rFonts w:cs="Times New Roman"/>
          <w:spacing w:val="-24"/>
        </w:rPr>
        <w:t xml:space="preserve">cho vay  ngang hàng </w:t>
      </w:r>
      <w:r w:rsidRPr="00F76356">
        <w:rPr>
          <w:rFonts w:cs="Times New Roman"/>
        </w:rPr>
        <w:t xml:space="preserve">chủ yếu là do hình thức cho vay ngang hàng là hình thức tín dụng tận dụng được các ưu </w:t>
      </w:r>
      <w:r w:rsidRPr="00F76356">
        <w:rPr>
          <w:rFonts w:cs="Times New Roman"/>
          <w:spacing w:val="-22"/>
        </w:rPr>
        <w:t xml:space="preserve">điểm </w:t>
      </w:r>
      <w:r w:rsidRPr="00F76356">
        <w:rPr>
          <w:rFonts w:cs="Times New Roman"/>
        </w:rPr>
        <w:t>của Internet và công nghệ tài chính (fintech).</w:t>
      </w:r>
    </w:p>
    <w:p w14:paraId="531F6E8B" w14:textId="77777777" w:rsidR="00700F72" w:rsidRPr="00F76356" w:rsidRDefault="007E055C" w:rsidP="00DA5916">
      <w:pPr>
        <w:pStyle w:val="0NOIDUNG"/>
        <w:rPr>
          <w:rFonts w:cs="Times New Roman"/>
        </w:rPr>
      </w:pPr>
      <w:r w:rsidRPr="00F76356">
        <w:rPr>
          <w:rFonts w:cs="Times New Roman"/>
        </w:rPr>
        <w:t xml:space="preserve">Việc xây dựng nền tảng pháp lý điều chỉnh cho hoạt động cho vay ngang hàng hiện </w:t>
      </w:r>
      <w:r w:rsidRPr="00F76356">
        <w:rPr>
          <w:rFonts w:cs="Times New Roman"/>
          <w:spacing w:val="-13"/>
        </w:rPr>
        <w:t xml:space="preserve">chưa </w:t>
      </w:r>
      <w:r w:rsidRPr="00F76356">
        <w:rPr>
          <w:rFonts w:cs="Times New Roman"/>
        </w:rPr>
        <w:t xml:space="preserve">hoàn chỉnh. Ngay cả tại các nước phát triển như Anh, </w:t>
      </w:r>
      <w:r w:rsidRPr="00F76356">
        <w:rPr>
          <w:rFonts w:cs="Times New Roman"/>
          <w:spacing w:val="3"/>
        </w:rPr>
        <w:t xml:space="preserve">Mỹ </w:t>
      </w:r>
      <w:r w:rsidRPr="00F76356">
        <w:rPr>
          <w:rFonts w:cs="Times New Roman"/>
        </w:rPr>
        <w:t>và Trung Quốc, hệ</w:t>
      </w:r>
      <w:r w:rsidRPr="00F76356">
        <w:rPr>
          <w:rFonts w:cs="Times New Roman"/>
          <w:spacing w:val="-42"/>
        </w:rPr>
        <w:t xml:space="preserve"> </w:t>
      </w:r>
      <w:r w:rsidRPr="00F76356">
        <w:rPr>
          <w:rFonts w:cs="Times New Roman"/>
          <w:spacing w:val="-18"/>
        </w:rPr>
        <w:t xml:space="preserve">thống </w:t>
      </w:r>
      <w:r w:rsidRPr="00F76356">
        <w:rPr>
          <w:rFonts w:cs="Times New Roman"/>
        </w:rPr>
        <w:t>quy định và pháp luật cho cho vay ngang hàng vẫn đang trong quá trình hoàn thiện và sửa</w:t>
      </w:r>
      <w:r w:rsidRPr="00F76356">
        <w:rPr>
          <w:rFonts w:cs="Times New Roman"/>
          <w:spacing w:val="-19"/>
        </w:rPr>
        <w:t xml:space="preserve"> </w:t>
      </w:r>
      <w:r w:rsidRPr="00F76356">
        <w:rPr>
          <w:rFonts w:cs="Times New Roman"/>
        </w:rPr>
        <w:t>đổi.</w:t>
      </w:r>
    </w:p>
    <w:p w14:paraId="6392630C" w14:textId="77777777" w:rsidR="00CE0CE1" w:rsidRPr="00F76356" w:rsidRDefault="007E055C" w:rsidP="00DA5916">
      <w:pPr>
        <w:pStyle w:val="0NOIDUNG"/>
        <w:rPr>
          <w:rFonts w:cs="Times New Roman"/>
        </w:rPr>
      </w:pPr>
      <w:r w:rsidRPr="00F76356">
        <w:rPr>
          <w:rFonts w:cs="Times New Roman"/>
        </w:rPr>
        <w:t xml:space="preserve">Tại Việt Nam, hoạt động </w:t>
      </w:r>
      <w:r w:rsidRPr="00F76356">
        <w:rPr>
          <w:rFonts w:cs="Times New Roman"/>
          <w:lang w:val="vi-VN"/>
        </w:rPr>
        <w:t>cho vay ngang hàng</w:t>
      </w:r>
      <w:r w:rsidRPr="00F76356">
        <w:rPr>
          <w:rFonts w:cs="Times New Roman"/>
        </w:rPr>
        <w:t xml:space="preserve"> mới chỉ có quy mô rất nhỏ so với thế giới, với khá ít các công ty cung cấp dịch vụ </w:t>
      </w:r>
      <w:r w:rsidRPr="00F76356">
        <w:rPr>
          <w:rFonts w:cs="Times New Roman"/>
          <w:lang w:val="vi-VN"/>
        </w:rPr>
        <w:t>cho vay ngang hàng</w:t>
      </w:r>
      <w:r w:rsidRPr="00F76356">
        <w:rPr>
          <w:rFonts w:cs="Times New Roman"/>
        </w:rPr>
        <w:t xml:space="preserve">. Tuy mới xuất hiện bắt đầu từ cuối năm 2015, nhưng các công ty cho vay ngang hàng </w:t>
      </w:r>
      <w:r w:rsidRPr="00F76356">
        <w:rPr>
          <w:rFonts w:cs="Times New Roman"/>
          <w:spacing w:val="2"/>
        </w:rPr>
        <w:t xml:space="preserve">tại </w:t>
      </w:r>
      <w:r w:rsidRPr="00F76356">
        <w:rPr>
          <w:rFonts w:cs="Times New Roman"/>
        </w:rPr>
        <w:t xml:space="preserve">Việt Nam đã có khả năng vận dụng tốt </w:t>
      </w:r>
      <w:r w:rsidRPr="00F76356">
        <w:rPr>
          <w:rFonts w:cs="Times New Roman"/>
          <w:spacing w:val="-15"/>
        </w:rPr>
        <w:t xml:space="preserve">các </w:t>
      </w:r>
      <w:r w:rsidRPr="00F76356">
        <w:rPr>
          <w:rFonts w:cs="Times New Roman"/>
        </w:rPr>
        <w:t xml:space="preserve">lợi thế của mạng Internet và công nghệ tài chính, cũng như các lợi thế của mô </w:t>
      </w:r>
      <w:r w:rsidRPr="00F76356">
        <w:rPr>
          <w:rFonts w:cs="Times New Roman"/>
          <w:spacing w:val="-12"/>
        </w:rPr>
        <w:t xml:space="preserve">hình </w:t>
      </w:r>
      <w:r w:rsidRPr="00F76356">
        <w:rPr>
          <w:rFonts w:cs="Times New Roman"/>
        </w:rPr>
        <w:t xml:space="preserve">cho vay ngang hàng như thuận tiện và nhanh chóng để phát triển và thu hút các bên tham </w:t>
      </w:r>
      <w:r w:rsidRPr="00F76356">
        <w:rPr>
          <w:rFonts w:cs="Times New Roman"/>
          <w:spacing w:val="-16"/>
        </w:rPr>
        <w:t xml:space="preserve">gia </w:t>
      </w:r>
      <w:r w:rsidRPr="00F76356">
        <w:rPr>
          <w:rFonts w:cs="Times New Roman"/>
        </w:rPr>
        <w:t xml:space="preserve">giao dịch, phát triển theo đúng mô hình cho vay ngang hàng trên thế giới. Tuy nhiên, bên cạnh đó cũng xuất hiện một số công ty hoạt động sai lệch so với bản chất của hình thức cho vay ngang hàng. Điều này sẽ có thể ảnh hưởng không nhỏ đến uy tín các công ty </w:t>
      </w:r>
      <w:r w:rsidRPr="00F76356">
        <w:rPr>
          <w:rFonts w:cs="Times New Roman"/>
          <w:spacing w:val="-11"/>
        </w:rPr>
        <w:t xml:space="preserve">cho vay ngang hàng </w:t>
      </w:r>
      <w:r w:rsidRPr="00F76356">
        <w:rPr>
          <w:rFonts w:cs="Times New Roman"/>
        </w:rPr>
        <w:t xml:space="preserve">đang hoạt động theo đúng quy chuẩn mà còn ảnh hưởng đến sự phát triển của </w:t>
      </w:r>
      <w:r w:rsidRPr="00F76356">
        <w:rPr>
          <w:rFonts w:cs="Times New Roman"/>
          <w:spacing w:val="-22"/>
        </w:rPr>
        <w:t xml:space="preserve">cả </w:t>
      </w:r>
      <w:r w:rsidRPr="00F76356">
        <w:rPr>
          <w:rFonts w:cs="Times New Roman"/>
        </w:rPr>
        <w:t>ngành</w:t>
      </w:r>
      <w:r w:rsidRPr="00F76356">
        <w:rPr>
          <w:rFonts w:cs="Times New Roman"/>
          <w:spacing w:val="10"/>
        </w:rPr>
        <w:t xml:space="preserve"> </w:t>
      </w:r>
      <w:r w:rsidRPr="00F76356">
        <w:rPr>
          <w:rFonts w:cs="Times New Roman"/>
        </w:rPr>
        <w:t>cho vay ngang hàng tại</w:t>
      </w:r>
      <w:r w:rsidRPr="00F76356">
        <w:rPr>
          <w:rFonts w:cs="Times New Roman"/>
          <w:spacing w:val="13"/>
        </w:rPr>
        <w:t xml:space="preserve"> </w:t>
      </w:r>
      <w:r w:rsidRPr="00F76356">
        <w:rPr>
          <w:rFonts w:cs="Times New Roman"/>
        </w:rPr>
        <w:t>Việt</w:t>
      </w:r>
      <w:r w:rsidRPr="00F76356">
        <w:rPr>
          <w:rFonts w:cs="Times New Roman"/>
          <w:spacing w:val="12"/>
        </w:rPr>
        <w:t xml:space="preserve"> </w:t>
      </w:r>
      <w:r w:rsidRPr="00F76356">
        <w:rPr>
          <w:rFonts w:cs="Times New Roman"/>
        </w:rPr>
        <w:t>Nam</w:t>
      </w:r>
      <w:r w:rsidRPr="00F76356">
        <w:rPr>
          <w:rFonts w:cs="Times New Roman"/>
          <w:spacing w:val="9"/>
        </w:rPr>
        <w:t xml:space="preserve"> </w:t>
      </w:r>
      <w:r w:rsidRPr="00F76356">
        <w:rPr>
          <w:rFonts w:cs="Times New Roman"/>
        </w:rPr>
        <w:t>nói</w:t>
      </w:r>
      <w:r w:rsidRPr="00F76356">
        <w:rPr>
          <w:rFonts w:cs="Times New Roman"/>
          <w:spacing w:val="13"/>
        </w:rPr>
        <w:t xml:space="preserve"> </w:t>
      </w:r>
      <w:r w:rsidRPr="00F76356">
        <w:rPr>
          <w:rFonts w:cs="Times New Roman"/>
        </w:rPr>
        <w:t>chung.</w:t>
      </w:r>
      <w:r w:rsidRPr="00F76356">
        <w:rPr>
          <w:rFonts w:cs="Times New Roman"/>
          <w:spacing w:val="11"/>
        </w:rPr>
        <w:t xml:space="preserve"> </w:t>
      </w:r>
      <w:r w:rsidRPr="00F76356">
        <w:rPr>
          <w:rFonts w:cs="Times New Roman"/>
        </w:rPr>
        <w:lastRenderedPageBreak/>
        <w:t>Do</w:t>
      </w:r>
      <w:r w:rsidRPr="00F76356">
        <w:rPr>
          <w:rFonts w:cs="Times New Roman"/>
          <w:spacing w:val="10"/>
        </w:rPr>
        <w:t xml:space="preserve"> </w:t>
      </w:r>
      <w:r w:rsidRPr="00F76356">
        <w:rPr>
          <w:rFonts w:cs="Times New Roman"/>
        </w:rPr>
        <w:t>đó,</w:t>
      </w:r>
      <w:r w:rsidRPr="00F76356">
        <w:rPr>
          <w:rFonts w:cs="Times New Roman"/>
          <w:spacing w:val="11"/>
        </w:rPr>
        <w:t xml:space="preserve"> </w:t>
      </w:r>
      <w:r w:rsidRPr="00F76356">
        <w:rPr>
          <w:rFonts w:cs="Times New Roman"/>
        </w:rPr>
        <w:t>rất</w:t>
      </w:r>
      <w:r w:rsidRPr="00F76356">
        <w:rPr>
          <w:rFonts w:cs="Times New Roman"/>
          <w:spacing w:val="11"/>
        </w:rPr>
        <w:t xml:space="preserve"> </w:t>
      </w:r>
      <w:r w:rsidRPr="00F76356">
        <w:rPr>
          <w:rFonts w:cs="Times New Roman"/>
        </w:rPr>
        <w:t>cần</w:t>
      </w:r>
      <w:r w:rsidRPr="00F76356">
        <w:rPr>
          <w:rFonts w:cs="Times New Roman"/>
          <w:spacing w:val="11"/>
        </w:rPr>
        <w:t xml:space="preserve"> </w:t>
      </w:r>
      <w:r w:rsidRPr="00F76356">
        <w:rPr>
          <w:rFonts w:cs="Times New Roman"/>
        </w:rPr>
        <w:t>có</w:t>
      </w:r>
      <w:r w:rsidRPr="00F76356">
        <w:rPr>
          <w:rFonts w:cs="Times New Roman"/>
          <w:spacing w:val="12"/>
        </w:rPr>
        <w:t xml:space="preserve"> </w:t>
      </w:r>
      <w:r w:rsidRPr="00F76356">
        <w:rPr>
          <w:rFonts w:cs="Times New Roman"/>
        </w:rPr>
        <w:t>những</w:t>
      </w:r>
      <w:r w:rsidRPr="00F76356">
        <w:rPr>
          <w:rFonts w:cs="Times New Roman"/>
          <w:spacing w:val="13"/>
        </w:rPr>
        <w:t xml:space="preserve"> </w:t>
      </w:r>
      <w:r w:rsidRPr="00F76356">
        <w:rPr>
          <w:rFonts w:cs="Times New Roman"/>
        </w:rPr>
        <w:t>biện</w:t>
      </w:r>
      <w:r w:rsidRPr="00F76356">
        <w:rPr>
          <w:rFonts w:cs="Times New Roman"/>
          <w:spacing w:val="13"/>
        </w:rPr>
        <w:t xml:space="preserve"> </w:t>
      </w:r>
      <w:r w:rsidRPr="00F76356">
        <w:rPr>
          <w:rFonts w:cs="Times New Roman"/>
        </w:rPr>
        <w:t>pháp</w:t>
      </w:r>
      <w:r w:rsidRPr="00F76356">
        <w:rPr>
          <w:rFonts w:cs="Times New Roman"/>
          <w:spacing w:val="13"/>
        </w:rPr>
        <w:t xml:space="preserve"> </w:t>
      </w:r>
      <w:r w:rsidRPr="00F76356">
        <w:rPr>
          <w:rFonts w:cs="Times New Roman"/>
        </w:rPr>
        <w:t>phù</w:t>
      </w:r>
      <w:r w:rsidRPr="00F76356">
        <w:rPr>
          <w:rFonts w:cs="Times New Roman"/>
          <w:spacing w:val="14"/>
        </w:rPr>
        <w:t xml:space="preserve"> </w:t>
      </w:r>
      <w:r w:rsidRPr="00F76356">
        <w:rPr>
          <w:rFonts w:cs="Times New Roman"/>
        </w:rPr>
        <w:t>hợp</w:t>
      </w:r>
      <w:r w:rsidRPr="00F76356">
        <w:rPr>
          <w:rFonts w:cs="Times New Roman"/>
          <w:lang w:val="vi-VN"/>
        </w:rPr>
        <w:t xml:space="preserve">  </w:t>
      </w:r>
      <w:r w:rsidRPr="00F76356">
        <w:rPr>
          <w:rFonts w:cs="Times New Roman"/>
        </w:rPr>
        <w:t>và hiệu quả để phát triển hoạt động cho vay ngang hàng tại Việt Nam dựa trên kinh nghiệm học tập từ các nước như Anh, Mỹ và Trung Quốc.</w:t>
      </w:r>
    </w:p>
    <w:p w14:paraId="4BF73D97" w14:textId="01EEA465" w:rsidR="00700F72" w:rsidRPr="00F76356" w:rsidRDefault="007E055C" w:rsidP="00DA5916">
      <w:pPr>
        <w:pStyle w:val="0NOIDUNG"/>
        <w:rPr>
          <w:rFonts w:cs="Times New Roman"/>
        </w:rPr>
      </w:pPr>
      <w:r w:rsidRPr="00F76356">
        <w:rPr>
          <w:rFonts w:cs="Times New Roman"/>
        </w:rPr>
        <w:t xml:space="preserve">Năm bài học kinh nghiệm tiêu biểu được rút ra từ quá trình phát triển </w:t>
      </w:r>
      <w:r w:rsidRPr="00F76356">
        <w:rPr>
          <w:rFonts w:cs="Times New Roman"/>
          <w:spacing w:val="-12"/>
        </w:rPr>
        <w:t xml:space="preserve">hoạt </w:t>
      </w:r>
      <w:r w:rsidRPr="00F76356">
        <w:rPr>
          <w:rFonts w:cs="Times New Roman"/>
        </w:rPr>
        <w:t xml:space="preserve">động cho vay ngang hàng tại ba quốc gia Anh, </w:t>
      </w:r>
      <w:r w:rsidRPr="00F76356">
        <w:rPr>
          <w:rFonts w:cs="Times New Roman"/>
          <w:spacing w:val="2"/>
        </w:rPr>
        <w:t xml:space="preserve">Mỹ </w:t>
      </w:r>
      <w:r w:rsidRPr="00F76356">
        <w:rPr>
          <w:rFonts w:cs="Times New Roman"/>
        </w:rPr>
        <w:t>và Trung Quốc đó là: Hệ thống pháp lý cần được</w:t>
      </w:r>
      <w:r w:rsidRPr="00F76356">
        <w:rPr>
          <w:rFonts w:cs="Times New Roman"/>
          <w:spacing w:val="-6"/>
        </w:rPr>
        <w:t xml:space="preserve"> </w:t>
      </w:r>
      <w:r w:rsidRPr="00F76356">
        <w:rPr>
          <w:rFonts w:cs="Times New Roman"/>
        </w:rPr>
        <w:t>xây</w:t>
      </w:r>
      <w:r w:rsidRPr="00F76356">
        <w:rPr>
          <w:rFonts w:cs="Times New Roman"/>
          <w:spacing w:val="-8"/>
        </w:rPr>
        <w:t xml:space="preserve"> </w:t>
      </w:r>
      <w:r w:rsidRPr="00F76356">
        <w:rPr>
          <w:rFonts w:cs="Times New Roman"/>
        </w:rPr>
        <w:t>dựng</w:t>
      </w:r>
      <w:r w:rsidRPr="00F76356">
        <w:rPr>
          <w:rFonts w:cs="Times New Roman"/>
          <w:spacing w:val="-5"/>
        </w:rPr>
        <w:t xml:space="preserve"> </w:t>
      </w:r>
      <w:r w:rsidRPr="00F76356">
        <w:rPr>
          <w:rFonts w:cs="Times New Roman"/>
        </w:rPr>
        <w:t>phù</w:t>
      </w:r>
      <w:r w:rsidRPr="00F76356">
        <w:rPr>
          <w:rFonts w:cs="Times New Roman"/>
          <w:spacing w:val="-4"/>
        </w:rPr>
        <w:t xml:space="preserve"> </w:t>
      </w:r>
      <w:r w:rsidRPr="00F76356">
        <w:rPr>
          <w:rFonts w:cs="Times New Roman"/>
        </w:rPr>
        <w:t>hợp</w:t>
      </w:r>
      <w:r w:rsidRPr="00F76356">
        <w:rPr>
          <w:rFonts w:cs="Times New Roman"/>
          <w:spacing w:val="-5"/>
        </w:rPr>
        <w:t xml:space="preserve"> </w:t>
      </w:r>
      <w:r w:rsidRPr="00F76356">
        <w:rPr>
          <w:rFonts w:cs="Times New Roman"/>
        </w:rPr>
        <w:t>với</w:t>
      </w:r>
      <w:r w:rsidRPr="00F76356">
        <w:rPr>
          <w:rFonts w:cs="Times New Roman"/>
          <w:spacing w:val="-4"/>
        </w:rPr>
        <w:t xml:space="preserve"> </w:t>
      </w:r>
      <w:r w:rsidRPr="00F76356">
        <w:rPr>
          <w:rFonts w:cs="Times New Roman"/>
        </w:rPr>
        <w:t>sự</w:t>
      </w:r>
      <w:r w:rsidRPr="00F76356">
        <w:rPr>
          <w:rFonts w:cs="Times New Roman"/>
          <w:spacing w:val="-4"/>
        </w:rPr>
        <w:t xml:space="preserve"> </w:t>
      </w:r>
      <w:r w:rsidRPr="00F76356">
        <w:rPr>
          <w:rFonts w:cs="Times New Roman"/>
        </w:rPr>
        <w:t>phát</w:t>
      </w:r>
      <w:r w:rsidRPr="00F76356">
        <w:rPr>
          <w:rFonts w:cs="Times New Roman"/>
          <w:spacing w:val="-4"/>
        </w:rPr>
        <w:t xml:space="preserve"> </w:t>
      </w:r>
      <w:r w:rsidRPr="00F76356">
        <w:rPr>
          <w:rFonts w:cs="Times New Roman"/>
        </w:rPr>
        <w:t>triển</w:t>
      </w:r>
      <w:r w:rsidRPr="00F76356">
        <w:rPr>
          <w:rFonts w:cs="Times New Roman"/>
          <w:spacing w:val="-5"/>
        </w:rPr>
        <w:t xml:space="preserve"> </w:t>
      </w:r>
      <w:r w:rsidRPr="00F76356">
        <w:rPr>
          <w:rFonts w:cs="Times New Roman"/>
        </w:rPr>
        <w:t>của</w:t>
      </w:r>
      <w:r w:rsidRPr="00F76356">
        <w:rPr>
          <w:rFonts w:cs="Times New Roman"/>
          <w:spacing w:val="-3"/>
        </w:rPr>
        <w:t xml:space="preserve"> </w:t>
      </w:r>
      <w:r w:rsidRPr="00F76356">
        <w:rPr>
          <w:rFonts w:cs="Times New Roman"/>
        </w:rPr>
        <w:t>hoạt</w:t>
      </w:r>
      <w:r w:rsidRPr="00F76356">
        <w:rPr>
          <w:rFonts w:cs="Times New Roman"/>
          <w:spacing w:val="-5"/>
        </w:rPr>
        <w:t xml:space="preserve"> </w:t>
      </w:r>
      <w:r w:rsidRPr="00F76356">
        <w:rPr>
          <w:rFonts w:cs="Times New Roman"/>
        </w:rPr>
        <w:t>động</w:t>
      </w:r>
      <w:r w:rsidRPr="00F76356">
        <w:rPr>
          <w:rFonts w:cs="Times New Roman"/>
          <w:spacing w:val="-6"/>
        </w:rPr>
        <w:t xml:space="preserve"> </w:t>
      </w:r>
      <w:r w:rsidRPr="00F76356">
        <w:rPr>
          <w:rFonts w:cs="Times New Roman"/>
        </w:rPr>
        <w:t>Cho</w:t>
      </w:r>
      <w:r w:rsidRPr="00F76356">
        <w:rPr>
          <w:rFonts w:cs="Times New Roman"/>
          <w:spacing w:val="-5"/>
        </w:rPr>
        <w:t xml:space="preserve"> </w:t>
      </w:r>
      <w:r w:rsidRPr="00F76356">
        <w:rPr>
          <w:rFonts w:cs="Times New Roman"/>
        </w:rPr>
        <w:t>vay</w:t>
      </w:r>
      <w:r w:rsidRPr="00F76356">
        <w:rPr>
          <w:rFonts w:cs="Times New Roman"/>
          <w:spacing w:val="-8"/>
        </w:rPr>
        <w:t xml:space="preserve"> </w:t>
      </w:r>
      <w:r w:rsidRPr="00F76356">
        <w:rPr>
          <w:rFonts w:cs="Times New Roman"/>
        </w:rPr>
        <w:t>ngang</w:t>
      </w:r>
      <w:r w:rsidRPr="00F76356">
        <w:rPr>
          <w:rFonts w:cs="Times New Roman"/>
          <w:spacing w:val="-6"/>
        </w:rPr>
        <w:t xml:space="preserve"> </w:t>
      </w:r>
      <w:r w:rsidRPr="00F76356">
        <w:rPr>
          <w:rFonts w:cs="Times New Roman"/>
        </w:rPr>
        <w:t>hàng;</w:t>
      </w:r>
      <w:r w:rsidRPr="00F76356">
        <w:rPr>
          <w:rFonts w:cs="Times New Roman"/>
          <w:spacing w:val="-1"/>
        </w:rPr>
        <w:t xml:space="preserve"> </w:t>
      </w:r>
      <w:r w:rsidRPr="00F76356">
        <w:rPr>
          <w:rFonts w:cs="Times New Roman"/>
          <w:spacing w:val="-9"/>
        </w:rPr>
        <w:t xml:space="preserve">Thành </w:t>
      </w:r>
      <w:r w:rsidRPr="00F76356">
        <w:rPr>
          <w:rFonts w:cs="Times New Roman"/>
        </w:rPr>
        <w:t xml:space="preserve">lập Tổ chức Cho vay ngang hàng là việc làm cần thiết để phát triển hoạt động Cho vay ngang hàng; Có thể phát triển hoạt động Cho vay ngang hàng theo hướng </w:t>
      </w:r>
      <w:r w:rsidRPr="00F76356">
        <w:rPr>
          <w:rFonts w:cs="Times New Roman"/>
          <w:spacing w:val="-17"/>
        </w:rPr>
        <w:t xml:space="preserve">hợp </w:t>
      </w:r>
      <w:r w:rsidRPr="00F76356">
        <w:rPr>
          <w:rFonts w:cs="Times New Roman"/>
        </w:rPr>
        <w:t>tác cùng hệ thống ngân hàng truyền thống; Cần thực hiện các báo cáo, nghiên cứu mang tầm khu vực và quốc tế giúp nâng cao nhận thức và góp phần phát triển của Cho vay ngang hàng; Cần thực hiện công tác dự báo và công khai các yếu tố rủi ro liên quan đến hoạt động Cho vay ngang hàng một cách kịp thời và chính</w:t>
      </w:r>
      <w:r w:rsidRPr="00F76356">
        <w:rPr>
          <w:rFonts w:cs="Times New Roman"/>
          <w:spacing w:val="-20"/>
        </w:rPr>
        <w:t xml:space="preserve"> </w:t>
      </w:r>
      <w:r w:rsidRPr="00F76356">
        <w:rPr>
          <w:rFonts w:cs="Times New Roman"/>
        </w:rPr>
        <w:t>xác.</w:t>
      </w:r>
    </w:p>
    <w:p w14:paraId="3C94EBED" w14:textId="4EEF4357" w:rsidR="007E055C" w:rsidRPr="00F76356" w:rsidRDefault="007E055C" w:rsidP="00DA5916">
      <w:pPr>
        <w:pStyle w:val="0NOIDUNG"/>
        <w:rPr>
          <w:rFonts w:cs="Times New Roman"/>
        </w:rPr>
      </w:pPr>
      <w:r w:rsidRPr="00F76356">
        <w:rPr>
          <w:rFonts w:cs="Times New Roman"/>
        </w:rPr>
        <w:t xml:space="preserve">Từ những bài học kinh nghiệm, kết hợp với những thuận lợi và khó khăn trong quá trình vận dụng kinh nghiệm tại Anh, </w:t>
      </w:r>
      <w:r w:rsidRPr="00F76356">
        <w:rPr>
          <w:rFonts w:cs="Times New Roman"/>
          <w:spacing w:val="2"/>
        </w:rPr>
        <w:t xml:space="preserve">Mỹ </w:t>
      </w:r>
      <w:r w:rsidRPr="00F76356">
        <w:rPr>
          <w:rFonts w:cs="Times New Roman"/>
        </w:rPr>
        <w:t>và Trung Quốc để phát triển mô hình cho vay ngang hàng tại Việt Nam, một số giải pháp đƣợc đề xuất nhằm phát triển hoạt</w:t>
      </w:r>
      <w:r w:rsidRPr="00F76356">
        <w:rPr>
          <w:rFonts w:cs="Times New Roman"/>
          <w:spacing w:val="-30"/>
        </w:rPr>
        <w:t xml:space="preserve"> </w:t>
      </w:r>
      <w:r w:rsidRPr="00F76356">
        <w:rPr>
          <w:rFonts w:cs="Times New Roman"/>
          <w:spacing w:val="-12"/>
        </w:rPr>
        <w:t xml:space="preserve">động </w:t>
      </w:r>
      <w:r w:rsidRPr="00F76356">
        <w:rPr>
          <w:rFonts w:cs="Times New Roman"/>
        </w:rPr>
        <w:t>cho vay ngang hàng tại Việt Nam là: Đẩy mạnh việc ứng dụng các lợi thế của mạng internet, công nghệ tài chính fintech và dữ liệu lớn big data; Thành lập tổ chức các doanh nghiệp</w:t>
      </w:r>
      <w:r w:rsidRPr="00F76356">
        <w:rPr>
          <w:rFonts w:cs="Times New Roman"/>
          <w:spacing w:val="-5"/>
        </w:rPr>
        <w:t xml:space="preserve"> </w:t>
      </w:r>
      <w:r w:rsidRPr="00F76356">
        <w:rPr>
          <w:rFonts w:cs="Times New Roman"/>
        </w:rPr>
        <w:t>trong</w:t>
      </w:r>
      <w:r w:rsidRPr="00F76356">
        <w:rPr>
          <w:rFonts w:cs="Times New Roman"/>
          <w:spacing w:val="-4"/>
        </w:rPr>
        <w:t xml:space="preserve"> </w:t>
      </w:r>
      <w:r w:rsidRPr="00F76356">
        <w:rPr>
          <w:rFonts w:cs="Times New Roman"/>
        </w:rPr>
        <w:t>ngành</w:t>
      </w:r>
      <w:r w:rsidRPr="00F76356">
        <w:rPr>
          <w:rFonts w:cs="Times New Roman"/>
          <w:spacing w:val="-5"/>
        </w:rPr>
        <w:t xml:space="preserve"> </w:t>
      </w:r>
      <w:r w:rsidRPr="00F76356">
        <w:rPr>
          <w:rFonts w:cs="Times New Roman"/>
        </w:rPr>
        <w:t>cho vay ngang hàng;</w:t>
      </w:r>
      <w:r w:rsidRPr="00F76356">
        <w:rPr>
          <w:rFonts w:cs="Times New Roman"/>
          <w:spacing w:val="-4"/>
        </w:rPr>
        <w:t xml:space="preserve"> </w:t>
      </w:r>
      <w:r w:rsidRPr="00F76356">
        <w:rPr>
          <w:rFonts w:cs="Times New Roman"/>
          <w:spacing w:val="2"/>
        </w:rPr>
        <w:t>Đẩy</w:t>
      </w:r>
      <w:r w:rsidRPr="00F76356">
        <w:rPr>
          <w:rFonts w:cs="Times New Roman"/>
          <w:spacing w:val="-7"/>
        </w:rPr>
        <w:t xml:space="preserve"> </w:t>
      </w:r>
      <w:r w:rsidRPr="00F76356">
        <w:rPr>
          <w:rFonts w:cs="Times New Roman"/>
        </w:rPr>
        <w:t>mạnh</w:t>
      </w:r>
      <w:r w:rsidRPr="00F76356">
        <w:rPr>
          <w:rFonts w:cs="Times New Roman"/>
          <w:spacing w:val="-2"/>
        </w:rPr>
        <w:t xml:space="preserve"> </w:t>
      </w:r>
      <w:r w:rsidRPr="00F76356">
        <w:rPr>
          <w:rFonts w:cs="Times New Roman"/>
        </w:rPr>
        <w:t>các</w:t>
      </w:r>
      <w:r w:rsidRPr="00F76356">
        <w:rPr>
          <w:rFonts w:cs="Times New Roman"/>
          <w:spacing w:val="-4"/>
        </w:rPr>
        <w:t xml:space="preserve"> </w:t>
      </w:r>
      <w:r w:rsidRPr="00F76356">
        <w:rPr>
          <w:rFonts w:cs="Times New Roman"/>
        </w:rPr>
        <w:t>hoạt</w:t>
      </w:r>
      <w:r w:rsidRPr="00F76356">
        <w:rPr>
          <w:rFonts w:cs="Times New Roman"/>
          <w:spacing w:val="-4"/>
        </w:rPr>
        <w:t xml:space="preserve"> </w:t>
      </w:r>
      <w:r w:rsidRPr="00F76356">
        <w:rPr>
          <w:rFonts w:cs="Times New Roman"/>
        </w:rPr>
        <w:t>động</w:t>
      </w:r>
      <w:r w:rsidRPr="00F76356">
        <w:rPr>
          <w:rFonts w:cs="Times New Roman"/>
          <w:spacing w:val="-2"/>
        </w:rPr>
        <w:t xml:space="preserve"> </w:t>
      </w:r>
      <w:r w:rsidRPr="00F76356">
        <w:rPr>
          <w:rFonts w:cs="Times New Roman"/>
        </w:rPr>
        <w:t>kêu</w:t>
      </w:r>
      <w:r w:rsidRPr="00F76356">
        <w:rPr>
          <w:rFonts w:cs="Times New Roman"/>
          <w:spacing w:val="-5"/>
        </w:rPr>
        <w:t xml:space="preserve"> </w:t>
      </w:r>
      <w:r w:rsidRPr="00F76356">
        <w:rPr>
          <w:rFonts w:cs="Times New Roman"/>
        </w:rPr>
        <w:t>gọi</w:t>
      </w:r>
      <w:r w:rsidRPr="00F76356">
        <w:rPr>
          <w:rFonts w:cs="Times New Roman"/>
          <w:spacing w:val="-3"/>
        </w:rPr>
        <w:t xml:space="preserve"> </w:t>
      </w:r>
      <w:r w:rsidRPr="00F76356">
        <w:rPr>
          <w:rFonts w:cs="Times New Roman"/>
        </w:rPr>
        <w:t>đầu</w:t>
      </w:r>
      <w:r w:rsidRPr="00F76356">
        <w:rPr>
          <w:rFonts w:cs="Times New Roman"/>
          <w:spacing w:val="-4"/>
        </w:rPr>
        <w:t xml:space="preserve"> </w:t>
      </w:r>
      <w:r w:rsidRPr="00F76356">
        <w:rPr>
          <w:rFonts w:cs="Times New Roman"/>
        </w:rPr>
        <w:t>tư</w:t>
      </w:r>
      <w:r w:rsidRPr="00F76356">
        <w:rPr>
          <w:rFonts w:cs="Times New Roman"/>
          <w:spacing w:val="-4"/>
        </w:rPr>
        <w:t xml:space="preserve"> </w:t>
      </w:r>
      <w:r w:rsidRPr="00F76356">
        <w:rPr>
          <w:rFonts w:cs="Times New Roman"/>
        </w:rPr>
        <w:t>từ</w:t>
      </w:r>
      <w:r w:rsidRPr="00F76356">
        <w:rPr>
          <w:rFonts w:cs="Times New Roman"/>
          <w:spacing w:val="-2"/>
        </w:rPr>
        <w:t xml:space="preserve"> </w:t>
      </w:r>
      <w:r w:rsidRPr="00F76356">
        <w:rPr>
          <w:rFonts w:cs="Times New Roman"/>
        </w:rPr>
        <w:t>nước</w:t>
      </w:r>
      <w:r w:rsidRPr="00F76356">
        <w:rPr>
          <w:rFonts w:cs="Times New Roman"/>
          <w:spacing w:val="-5"/>
        </w:rPr>
        <w:t xml:space="preserve"> </w:t>
      </w:r>
      <w:r w:rsidRPr="00F76356">
        <w:rPr>
          <w:rFonts w:cs="Times New Roman"/>
          <w:spacing w:val="-14"/>
        </w:rPr>
        <w:t xml:space="preserve">ngoài, </w:t>
      </w:r>
      <w:r w:rsidRPr="00F76356">
        <w:rPr>
          <w:rFonts w:cs="Times New Roman"/>
        </w:rPr>
        <w:t xml:space="preserve">kết hợp với hệ thống ngân hàng. Trong đó, việc Xây dựng hệ thống pháp lý phù hợp và Thực hiện các nghiên cứu về ngành là hai biện pháp cấp thiết và cần được </w:t>
      </w:r>
      <w:r w:rsidRPr="00F76356">
        <w:rPr>
          <w:rFonts w:cs="Times New Roman"/>
          <w:spacing w:val="-11"/>
        </w:rPr>
        <w:t xml:space="preserve">triển </w:t>
      </w:r>
      <w:r w:rsidRPr="00F76356">
        <w:rPr>
          <w:rFonts w:cs="Times New Roman"/>
        </w:rPr>
        <w:t>khai đồng</w:t>
      </w:r>
      <w:r w:rsidRPr="00F76356">
        <w:rPr>
          <w:rFonts w:cs="Times New Roman"/>
          <w:spacing w:val="-1"/>
        </w:rPr>
        <w:t xml:space="preserve"> </w:t>
      </w:r>
      <w:r w:rsidRPr="00F76356">
        <w:rPr>
          <w:rFonts w:cs="Times New Roman"/>
        </w:rPr>
        <w:t>bộ.</w:t>
      </w:r>
    </w:p>
    <w:p w14:paraId="382BC82D" w14:textId="348E5A01" w:rsidR="007E055C" w:rsidRPr="00F76356" w:rsidRDefault="007E055C" w:rsidP="00DA5916">
      <w:pPr>
        <w:pStyle w:val="0NOIDUNG"/>
        <w:rPr>
          <w:rFonts w:cs="Times New Roman"/>
        </w:rPr>
      </w:pPr>
      <w:r w:rsidRPr="00F76356">
        <w:rPr>
          <w:rFonts w:cs="Times New Roman"/>
        </w:rPr>
        <w:t>Nếu các giải pháp này đ</w:t>
      </w:r>
      <w:r w:rsidRPr="00F76356">
        <w:rPr>
          <w:rFonts w:cs="Times New Roman"/>
          <w:lang w:val="vi-VN"/>
        </w:rPr>
        <w:t>ư</w:t>
      </w:r>
      <w:r w:rsidRPr="00F76356">
        <w:rPr>
          <w:rFonts w:cs="Times New Roman"/>
        </w:rPr>
        <w:t xml:space="preserve">ợc thực hiện một cách đồng bộ và hiệu quả, sẽ góp phần không nhỏ cho việc phát triển hoạt động </w:t>
      </w:r>
      <w:r w:rsidRPr="00F76356">
        <w:rPr>
          <w:rFonts w:cs="Times New Roman"/>
          <w:lang w:val="vi-VN"/>
        </w:rPr>
        <w:t xml:space="preserve">cho vay ngang hàng </w:t>
      </w:r>
      <w:r w:rsidRPr="00F76356">
        <w:rPr>
          <w:rFonts w:cs="Times New Roman"/>
        </w:rPr>
        <w:t>-</w:t>
      </w:r>
      <w:r w:rsidRPr="00F76356">
        <w:rPr>
          <w:rFonts w:cs="Times New Roman"/>
          <w:lang w:val="vi-VN"/>
        </w:rPr>
        <w:t xml:space="preserve"> </w:t>
      </w:r>
      <w:r w:rsidRPr="00F76356">
        <w:rPr>
          <w:rFonts w:cs="Times New Roman"/>
        </w:rPr>
        <w:t xml:space="preserve">một hình thức tài chính mới có nhiều </w:t>
      </w:r>
      <w:r w:rsidRPr="00F76356">
        <w:rPr>
          <w:rFonts w:cs="Times New Roman"/>
          <w:lang w:val="vi-VN"/>
        </w:rPr>
        <w:t>ư</w:t>
      </w:r>
      <w:r w:rsidRPr="00F76356">
        <w:rPr>
          <w:rFonts w:cs="Times New Roman"/>
        </w:rPr>
        <w:t>u điểm và lợi thế phát triển, góp phần làm đa dạng hóa thị tr</w:t>
      </w:r>
      <w:r w:rsidRPr="00F76356">
        <w:rPr>
          <w:rFonts w:cs="Times New Roman"/>
          <w:lang w:val="vi-VN"/>
        </w:rPr>
        <w:t>ư</w:t>
      </w:r>
      <w:r w:rsidRPr="00F76356">
        <w:rPr>
          <w:rFonts w:cs="Times New Roman"/>
        </w:rPr>
        <w:t>ờng tài chính tại Việt Nam nói chung và cung cấp loại hình tài chính thay thế hiệu quả cho một số đối t</w:t>
      </w:r>
      <w:r w:rsidRPr="00F76356">
        <w:rPr>
          <w:rFonts w:cs="Times New Roman"/>
          <w:lang w:val="vi-VN"/>
        </w:rPr>
        <w:t>ư</w:t>
      </w:r>
      <w:r w:rsidRPr="00F76356">
        <w:rPr>
          <w:rFonts w:cs="Times New Roman"/>
        </w:rPr>
        <w:t>ợng nh</w:t>
      </w:r>
      <w:r w:rsidRPr="00F76356">
        <w:rPr>
          <w:rFonts w:cs="Times New Roman"/>
          <w:lang w:val="vi-VN"/>
        </w:rPr>
        <w:t>ư</w:t>
      </w:r>
      <w:r w:rsidRPr="00F76356">
        <w:rPr>
          <w:rFonts w:cs="Times New Roman"/>
        </w:rPr>
        <w:t xml:space="preserve">: các </w:t>
      </w:r>
      <w:r w:rsidRPr="00F76356">
        <w:rPr>
          <w:rFonts w:cs="Times New Roman"/>
          <w:lang w:val="vi-VN"/>
        </w:rPr>
        <w:t>doanh nghiệp vừa và nhỏ</w:t>
      </w:r>
      <w:r w:rsidRPr="00F76356">
        <w:rPr>
          <w:rFonts w:cs="Times New Roman"/>
        </w:rPr>
        <w:t xml:space="preserve"> hay các đối t</w:t>
      </w:r>
      <w:r w:rsidRPr="00F76356">
        <w:rPr>
          <w:rFonts w:cs="Times New Roman"/>
          <w:lang w:val="vi"/>
        </w:rPr>
        <w:t>ư</w:t>
      </w:r>
      <w:r w:rsidRPr="00F76356">
        <w:rPr>
          <w:rFonts w:cs="Times New Roman"/>
        </w:rPr>
        <w:t>ợng cần nguồn vốn nhỏ trong thời gian ngắn nói riêng.</w:t>
      </w:r>
    </w:p>
    <w:p w14:paraId="541FA6D0" w14:textId="77777777" w:rsidR="00700F72" w:rsidRPr="00F76356" w:rsidRDefault="00700F72" w:rsidP="00502794">
      <w:pPr>
        <w:pStyle w:val="BodyText"/>
        <w:spacing w:line="312" w:lineRule="auto"/>
        <w:ind w:right="969" w:firstLine="566"/>
      </w:pPr>
    </w:p>
    <w:p w14:paraId="32158D0F" w14:textId="77777777" w:rsidR="00F76356" w:rsidRDefault="00F76356">
      <w:pPr>
        <w:rPr>
          <w:rFonts w:ascii="Times New Roman" w:eastAsiaTheme="minorHAnsi" w:hAnsi="Times New Roman" w:cs="Times New Roman"/>
          <w:b/>
          <w:sz w:val="26"/>
          <w:lang w:eastAsia="en-US"/>
        </w:rPr>
      </w:pPr>
      <w:r>
        <w:rPr>
          <w:rFonts w:cs="Times New Roman"/>
          <w:b/>
        </w:rPr>
        <w:br w:type="page"/>
      </w:r>
    </w:p>
    <w:p w14:paraId="02AB4177" w14:textId="7DF81A4A" w:rsidR="007E055C" w:rsidRPr="00F76356" w:rsidRDefault="007E055C" w:rsidP="00F76356">
      <w:pPr>
        <w:pStyle w:val="0LV1"/>
        <w:jc w:val="center"/>
      </w:pPr>
      <w:bookmarkStart w:id="33" w:name="_Toc134387180"/>
      <w:r w:rsidRPr="00F76356">
        <w:lastRenderedPageBreak/>
        <w:t>TÀI LIỆU THAM KHẢO.</w:t>
      </w:r>
      <w:bookmarkEnd w:id="33"/>
    </w:p>
    <w:p w14:paraId="7EFB20E8" w14:textId="77777777" w:rsidR="007E055C" w:rsidRPr="00F76356" w:rsidRDefault="008F2336" w:rsidP="00F76356">
      <w:pPr>
        <w:pStyle w:val="0NOIDUNG"/>
        <w:rPr>
          <w:b/>
          <w:bCs/>
          <w:szCs w:val="26"/>
        </w:rPr>
      </w:pPr>
      <w:hyperlink r:id="rId16" w:history="1">
        <w:r w:rsidR="007E055C" w:rsidRPr="00F76356">
          <w:rPr>
            <w:rStyle w:val="Hyperlink"/>
            <w:rFonts w:cs="Times New Roman"/>
            <w:color w:val="auto"/>
            <w:szCs w:val="26"/>
          </w:rPr>
          <w:t>https://fiin.vn/blog/cho-vay-ngang-hang/</w:t>
        </w:r>
      </w:hyperlink>
    </w:p>
    <w:p w14:paraId="032A6AB6" w14:textId="77777777" w:rsidR="007E055C" w:rsidRPr="00F76356" w:rsidRDefault="008F2336" w:rsidP="00F76356">
      <w:pPr>
        <w:pStyle w:val="0NOIDUNG"/>
        <w:rPr>
          <w:b/>
          <w:bCs/>
          <w:szCs w:val="26"/>
        </w:rPr>
      </w:pPr>
      <w:hyperlink r:id="rId17" w:history="1">
        <w:r w:rsidR="007E055C" w:rsidRPr="00F76356">
          <w:rPr>
            <w:rStyle w:val="Hyperlink"/>
            <w:rFonts w:cs="Times New Roman"/>
            <w:color w:val="auto"/>
            <w:szCs w:val="26"/>
          </w:rPr>
          <w:t>https://tapchinganhang.gov.vn/hoat-dong-cho-vay-ngang-hang-tai-viet-nam.htm?fbclid=IwAR26IjXyvJm_JsNCCsSCx0lsuaU8RfBducuMzXiMMEhoVRQwBN3pA1kxZ</w:t>
        </w:r>
      </w:hyperlink>
    </w:p>
    <w:p w14:paraId="0D4C6711" w14:textId="7FD13BCE" w:rsidR="007E055C" w:rsidRPr="00F76356" w:rsidRDefault="007E055C" w:rsidP="00F76356">
      <w:pPr>
        <w:pStyle w:val="0NOIDUNG"/>
        <w:rPr>
          <w:rFonts w:eastAsia="Times New Roman"/>
          <w:szCs w:val="26"/>
        </w:rPr>
      </w:pPr>
      <w:r w:rsidRPr="00F76356">
        <w:rPr>
          <w:rFonts w:eastAsia="Times New Roman"/>
          <w:i/>
          <w:iCs/>
          <w:szCs w:val="26"/>
        </w:rPr>
        <w:t xml:space="preserve">1. </w:t>
      </w:r>
      <w:r w:rsidR="00F76356">
        <w:rPr>
          <w:rFonts w:eastAsia="Times New Roman"/>
          <w:i/>
          <w:iCs/>
          <w:szCs w:val="26"/>
        </w:rPr>
        <w:t xml:space="preserve">1. </w:t>
      </w:r>
      <w:r w:rsidRPr="00F76356">
        <w:rPr>
          <w:rFonts w:eastAsia="Times New Roman"/>
          <w:i/>
          <w:iCs/>
          <w:szCs w:val="26"/>
        </w:rPr>
        <w:t>Bùi Tín Nghị và cộng sự (2022), Nghiên cứu hoạt động cho vay ngang hàng: Kinh nghiệm quốc tế và khuyến nghị cho Việt Nam. Đề tài cấp ngành 2021, Ngân hàng Nhà nước Việt Nam.</w:t>
      </w:r>
    </w:p>
    <w:p w14:paraId="1905AC5C" w14:textId="4A5CBE01" w:rsidR="00DA5916" w:rsidRPr="00F76356" w:rsidRDefault="007E055C" w:rsidP="00F76356">
      <w:pPr>
        <w:pStyle w:val="0NOIDUNG"/>
      </w:pPr>
      <w:r w:rsidRPr="00F76356">
        <w:rPr>
          <w:rFonts w:eastAsia="Times New Roman"/>
          <w:i/>
          <w:iCs/>
          <w:szCs w:val="26"/>
        </w:rPr>
        <w:t xml:space="preserve">2. </w:t>
      </w:r>
      <w:r w:rsidR="00F76356">
        <w:rPr>
          <w:rFonts w:eastAsia="Times New Roman"/>
          <w:i/>
          <w:iCs/>
          <w:szCs w:val="26"/>
        </w:rPr>
        <w:t xml:space="preserve">2. </w:t>
      </w:r>
      <w:r w:rsidRPr="00F76356">
        <w:rPr>
          <w:rFonts w:eastAsia="Times New Roman"/>
          <w:i/>
          <w:iCs/>
          <w:szCs w:val="26"/>
        </w:rPr>
        <w:t>Một số trang website:</w:t>
      </w:r>
      <w:hyperlink r:id="rId18" w:history="1">
        <w:r w:rsidRPr="00F76356">
          <w:rPr>
            <w:rStyle w:val="Hyperlink"/>
            <w:rFonts w:eastAsia="Times New Roman" w:cs="Times New Roman"/>
            <w:i/>
            <w:iCs/>
            <w:color w:val="auto"/>
            <w:szCs w:val="26"/>
          </w:rPr>
          <w:t>Lender.vn</w:t>
        </w:r>
      </w:hyperlink>
      <w:r w:rsidRPr="00F76356">
        <w:rPr>
          <w:rFonts w:eastAsia="Times New Roman"/>
          <w:i/>
          <w:iCs/>
          <w:szCs w:val="26"/>
        </w:rPr>
        <w:t xml:space="preserve">; </w:t>
      </w:r>
      <w:hyperlink r:id="rId19" w:history="1">
        <w:r w:rsidRPr="00F76356">
          <w:rPr>
            <w:rStyle w:val="Hyperlink"/>
            <w:rFonts w:eastAsia="Times New Roman" w:cs="Times New Roman"/>
            <w:i/>
            <w:iCs/>
            <w:color w:val="auto"/>
            <w:szCs w:val="26"/>
          </w:rPr>
          <w:t>https://p2pmarketdata.com</w:t>
        </w:r>
      </w:hyperlink>
      <w:bookmarkStart w:id="34" w:name="_Hlk58616511"/>
    </w:p>
    <w:bookmarkEnd w:id="34"/>
    <w:p w14:paraId="09B209C3" w14:textId="77777777" w:rsidR="00DA5916" w:rsidRPr="00F76356" w:rsidRDefault="00DA5916" w:rsidP="00F76356">
      <w:pPr>
        <w:pStyle w:val="0NOIDUNG"/>
      </w:pPr>
    </w:p>
    <w:p w14:paraId="53B5C37B" w14:textId="77777777" w:rsidR="00AE09E0" w:rsidRPr="00F76356" w:rsidRDefault="00AE09E0" w:rsidP="00F76356">
      <w:pPr>
        <w:pStyle w:val="0NOIDUNG"/>
        <w:rPr>
          <w:szCs w:val="26"/>
        </w:rPr>
      </w:pPr>
    </w:p>
    <w:sectPr w:rsidR="00AE09E0" w:rsidRPr="00F76356" w:rsidSect="002D3EED">
      <w:headerReference w:type="default" r:id="rId20"/>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744C" w14:textId="77777777" w:rsidR="008F2336" w:rsidRDefault="008F2336" w:rsidP="0024653C">
      <w:pPr>
        <w:spacing w:after="0" w:line="240" w:lineRule="auto"/>
      </w:pPr>
      <w:r>
        <w:separator/>
      </w:r>
    </w:p>
  </w:endnote>
  <w:endnote w:type="continuationSeparator" w:id="0">
    <w:p w14:paraId="78D33EF4" w14:textId="77777777" w:rsidR="008F2336" w:rsidRDefault="008F2336" w:rsidP="0024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4ACBE" w14:textId="77777777" w:rsidR="008F2336" w:rsidRDefault="008F2336" w:rsidP="0024653C">
      <w:pPr>
        <w:spacing w:after="0" w:line="240" w:lineRule="auto"/>
      </w:pPr>
      <w:r>
        <w:separator/>
      </w:r>
    </w:p>
  </w:footnote>
  <w:footnote w:type="continuationSeparator" w:id="0">
    <w:p w14:paraId="1F8D3F1F" w14:textId="77777777" w:rsidR="008F2336" w:rsidRDefault="008F2336" w:rsidP="0024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69B4" w14:textId="528ED97B" w:rsidR="002D3EED" w:rsidRPr="002D3EED" w:rsidRDefault="002D3EED">
    <w:pPr>
      <w:pStyle w:val="Header"/>
      <w:jc w:val="center"/>
      <w:rPr>
        <w:rFonts w:ascii="Times New Roman" w:hAnsi="Times New Roman" w:cs="Times New Roman"/>
        <w:sz w:val="26"/>
        <w:szCs w:val="26"/>
      </w:rPr>
    </w:pPr>
  </w:p>
  <w:p w14:paraId="27DB0319" w14:textId="77777777" w:rsidR="002D3EED" w:rsidRDefault="002D3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5FF"/>
    <w:multiLevelType w:val="multilevel"/>
    <w:tmpl w:val="20662ADE"/>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D4C4120"/>
    <w:multiLevelType w:val="multilevel"/>
    <w:tmpl w:val="625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F4622"/>
    <w:multiLevelType w:val="hybridMultilevel"/>
    <w:tmpl w:val="AA0C090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0F2BDB"/>
    <w:multiLevelType w:val="multilevel"/>
    <w:tmpl w:val="E8FA7DE4"/>
    <w:lvl w:ilvl="0">
      <w:start w:val="1"/>
      <w:numFmt w:val="decimal"/>
      <w:lvlText w:val="%1."/>
      <w:lvlJc w:val="left"/>
      <w:pPr>
        <w:ind w:left="126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4" w15:restartNumberingAfterBreak="0">
    <w:nsid w:val="1D950970"/>
    <w:multiLevelType w:val="hybridMultilevel"/>
    <w:tmpl w:val="4D62F8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0C071D8"/>
    <w:multiLevelType w:val="hybridMultilevel"/>
    <w:tmpl w:val="862E15C6"/>
    <w:lvl w:ilvl="0" w:tplc="72300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53BC1"/>
    <w:multiLevelType w:val="hybridMultilevel"/>
    <w:tmpl w:val="E7E4C0D8"/>
    <w:lvl w:ilvl="0" w:tplc="A7FA9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B6F5E"/>
    <w:multiLevelType w:val="multilevel"/>
    <w:tmpl w:val="8F5AED68"/>
    <w:lvl w:ilvl="0">
      <w:start w:val="1"/>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84474C"/>
    <w:multiLevelType w:val="hybridMultilevel"/>
    <w:tmpl w:val="65C001E4"/>
    <w:lvl w:ilvl="0" w:tplc="A28C4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44B2D"/>
    <w:multiLevelType w:val="hybridMultilevel"/>
    <w:tmpl w:val="A60815D0"/>
    <w:lvl w:ilvl="0" w:tplc="37F05542">
      <w:numFmt w:val="bullet"/>
      <w:lvlText w:val=""/>
      <w:lvlJc w:val="left"/>
      <w:pPr>
        <w:ind w:left="645" w:hanging="154"/>
      </w:pPr>
      <w:rPr>
        <w:rFonts w:ascii="Symbol" w:eastAsia="Symbol" w:hAnsi="Symbol" w:cs="Symbol" w:hint="default"/>
        <w:w w:val="99"/>
        <w:sz w:val="26"/>
        <w:szCs w:val="26"/>
        <w:lang w:val="vi" w:eastAsia="en-US" w:bidi="ar-SA"/>
      </w:rPr>
    </w:lvl>
    <w:lvl w:ilvl="1" w:tplc="5DFA9736">
      <w:numFmt w:val="bullet"/>
      <w:lvlText w:val="•"/>
      <w:lvlJc w:val="left"/>
      <w:pPr>
        <w:ind w:left="1616" w:hanging="154"/>
      </w:pPr>
      <w:rPr>
        <w:rFonts w:hint="default"/>
        <w:lang w:val="vi" w:eastAsia="en-US" w:bidi="ar-SA"/>
      </w:rPr>
    </w:lvl>
    <w:lvl w:ilvl="2" w:tplc="9AF661AA">
      <w:numFmt w:val="bullet"/>
      <w:lvlText w:val="•"/>
      <w:lvlJc w:val="left"/>
      <w:pPr>
        <w:ind w:left="2593" w:hanging="154"/>
      </w:pPr>
      <w:rPr>
        <w:rFonts w:hint="default"/>
        <w:lang w:val="vi" w:eastAsia="en-US" w:bidi="ar-SA"/>
      </w:rPr>
    </w:lvl>
    <w:lvl w:ilvl="3" w:tplc="3E20BC94">
      <w:numFmt w:val="bullet"/>
      <w:lvlText w:val="•"/>
      <w:lvlJc w:val="left"/>
      <w:pPr>
        <w:ind w:left="3569" w:hanging="154"/>
      </w:pPr>
      <w:rPr>
        <w:rFonts w:hint="default"/>
        <w:lang w:val="vi" w:eastAsia="en-US" w:bidi="ar-SA"/>
      </w:rPr>
    </w:lvl>
    <w:lvl w:ilvl="4" w:tplc="05D63B08">
      <w:numFmt w:val="bullet"/>
      <w:lvlText w:val="•"/>
      <w:lvlJc w:val="left"/>
      <w:pPr>
        <w:ind w:left="4546" w:hanging="154"/>
      </w:pPr>
      <w:rPr>
        <w:rFonts w:hint="default"/>
        <w:lang w:val="vi" w:eastAsia="en-US" w:bidi="ar-SA"/>
      </w:rPr>
    </w:lvl>
    <w:lvl w:ilvl="5" w:tplc="EA8455AA">
      <w:numFmt w:val="bullet"/>
      <w:lvlText w:val="•"/>
      <w:lvlJc w:val="left"/>
      <w:pPr>
        <w:ind w:left="5523" w:hanging="154"/>
      </w:pPr>
      <w:rPr>
        <w:rFonts w:hint="default"/>
        <w:lang w:val="vi" w:eastAsia="en-US" w:bidi="ar-SA"/>
      </w:rPr>
    </w:lvl>
    <w:lvl w:ilvl="6" w:tplc="D570A20C">
      <w:numFmt w:val="bullet"/>
      <w:lvlText w:val="•"/>
      <w:lvlJc w:val="left"/>
      <w:pPr>
        <w:ind w:left="6499" w:hanging="154"/>
      </w:pPr>
      <w:rPr>
        <w:rFonts w:hint="default"/>
        <w:lang w:val="vi" w:eastAsia="en-US" w:bidi="ar-SA"/>
      </w:rPr>
    </w:lvl>
    <w:lvl w:ilvl="7" w:tplc="2FBA716E">
      <w:numFmt w:val="bullet"/>
      <w:lvlText w:val="•"/>
      <w:lvlJc w:val="left"/>
      <w:pPr>
        <w:ind w:left="7476" w:hanging="154"/>
      </w:pPr>
      <w:rPr>
        <w:rFonts w:hint="default"/>
        <w:lang w:val="vi" w:eastAsia="en-US" w:bidi="ar-SA"/>
      </w:rPr>
    </w:lvl>
    <w:lvl w:ilvl="8" w:tplc="FDD0A17E">
      <w:numFmt w:val="bullet"/>
      <w:lvlText w:val="•"/>
      <w:lvlJc w:val="left"/>
      <w:pPr>
        <w:ind w:left="8453" w:hanging="154"/>
      </w:pPr>
      <w:rPr>
        <w:rFonts w:hint="default"/>
        <w:lang w:val="vi" w:eastAsia="en-US" w:bidi="ar-SA"/>
      </w:rPr>
    </w:lvl>
  </w:abstractNum>
  <w:abstractNum w:abstractNumId="10" w15:restartNumberingAfterBreak="0">
    <w:nsid w:val="76A72EC4"/>
    <w:multiLevelType w:val="multilevel"/>
    <w:tmpl w:val="A7026396"/>
    <w:lvl w:ilvl="0">
      <w:start w:val="1"/>
      <w:numFmt w:val="decimal"/>
      <w:lvlText w:val="%1."/>
      <w:lvlJc w:val="left"/>
      <w:pPr>
        <w:ind w:left="432" w:hanging="432"/>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6"/>
  </w:num>
  <w:num w:numId="3">
    <w:abstractNumId w:val="3"/>
  </w:num>
  <w:num w:numId="4">
    <w:abstractNumId w:val="5"/>
  </w:num>
  <w:num w:numId="5">
    <w:abstractNumId w:val="4"/>
  </w:num>
  <w:num w:numId="6">
    <w:abstractNumId w:val="8"/>
  </w:num>
  <w:num w:numId="7">
    <w:abstractNumId w:val="10"/>
  </w:num>
  <w:num w:numId="8">
    <w:abstractNumId w:val="1"/>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BD"/>
    <w:rsid w:val="0005201F"/>
    <w:rsid w:val="001577C7"/>
    <w:rsid w:val="001804BD"/>
    <w:rsid w:val="001F53C4"/>
    <w:rsid w:val="0024653C"/>
    <w:rsid w:val="002D3EED"/>
    <w:rsid w:val="00453C3A"/>
    <w:rsid w:val="004D3B08"/>
    <w:rsid w:val="004F6DC7"/>
    <w:rsid w:val="00500F6A"/>
    <w:rsid w:val="00502794"/>
    <w:rsid w:val="0050703D"/>
    <w:rsid w:val="00535681"/>
    <w:rsid w:val="00565A63"/>
    <w:rsid w:val="006818D0"/>
    <w:rsid w:val="006B54B6"/>
    <w:rsid w:val="00700F72"/>
    <w:rsid w:val="00752188"/>
    <w:rsid w:val="007E055C"/>
    <w:rsid w:val="008F2336"/>
    <w:rsid w:val="00926381"/>
    <w:rsid w:val="009949DA"/>
    <w:rsid w:val="00A60CDE"/>
    <w:rsid w:val="00AE09E0"/>
    <w:rsid w:val="00B73CC4"/>
    <w:rsid w:val="00B759ED"/>
    <w:rsid w:val="00CE0CE1"/>
    <w:rsid w:val="00D66763"/>
    <w:rsid w:val="00D87BDA"/>
    <w:rsid w:val="00DA5916"/>
    <w:rsid w:val="00DC35A1"/>
    <w:rsid w:val="00DE4783"/>
    <w:rsid w:val="00E41303"/>
    <w:rsid w:val="00EB2E22"/>
    <w:rsid w:val="00F76356"/>
    <w:rsid w:val="00FD79FF"/>
    <w:rsid w:val="00FE4250"/>
    <w:rsid w:val="00FF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1105"/>
  <w15:docId w15:val="{AB349B90-9AF0-45F5-80F0-498B65C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ind w:left="1287"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5C"/>
    <w:rPr>
      <w:rFonts w:eastAsiaTheme="minorEastAsia"/>
      <w:lang w:eastAsia="zh-TW"/>
    </w:rPr>
  </w:style>
  <w:style w:type="paragraph" w:styleId="Heading1">
    <w:name w:val="heading 1"/>
    <w:basedOn w:val="Normal"/>
    <w:link w:val="Heading1Char"/>
    <w:uiPriority w:val="9"/>
    <w:qFormat/>
    <w:rsid w:val="007E055C"/>
    <w:pPr>
      <w:widowControl w:val="0"/>
      <w:autoSpaceDE w:val="0"/>
      <w:autoSpaceDN w:val="0"/>
      <w:spacing w:before="210" w:after="0" w:line="240" w:lineRule="auto"/>
      <w:ind w:left="645"/>
      <w:outlineLvl w:val="0"/>
    </w:pPr>
    <w:rPr>
      <w:rFonts w:ascii="Times New Roman" w:eastAsia="Times New Roman" w:hAnsi="Times New Roman" w:cs="Times New Roman"/>
      <w:b/>
      <w:bCs/>
      <w:sz w:val="26"/>
      <w:szCs w:val="26"/>
      <w:lang w:val="vi" w:eastAsia="en-US"/>
    </w:rPr>
  </w:style>
  <w:style w:type="paragraph" w:styleId="Heading2">
    <w:name w:val="heading 2"/>
    <w:basedOn w:val="Normal"/>
    <w:next w:val="Normal"/>
    <w:link w:val="Heading2Char"/>
    <w:uiPriority w:val="9"/>
    <w:semiHidden/>
    <w:unhideWhenUsed/>
    <w:qFormat/>
    <w:rsid w:val="00B73C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73CC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5C"/>
    <w:rPr>
      <w:rFonts w:ascii="Times New Roman" w:eastAsia="Times New Roman" w:hAnsi="Times New Roman" w:cs="Times New Roman"/>
      <w:b/>
      <w:bCs/>
      <w:sz w:val="26"/>
      <w:szCs w:val="26"/>
      <w:lang w:val="vi"/>
    </w:rPr>
  </w:style>
  <w:style w:type="paragraph" w:styleId="NoSpacing">
    <w:name w:val="No Spacing"/>
    <w:uiPriority w:val="1"/>
    <w:qFormat/>
    <w:rsid w:val="007E055C"/>
    <w:pPr>
      <w:spacing w:after="0" w:line="240" w:lineRule="auto"/>
    </w:pPr>
  </w:style>
  <w:style w:type="paragraph" w:styleId="ListParagraph">
    <w:name w:val="List Paragraph"/>
    <w:basedOn w:val="Normal"/>
    <w:uiPriority w:val="1"/>
    <w:qFormat/>
    <w:rsid w:val="007E055C"/>
    <w:pPr>
      <w:ind w:left="720"/>
      <w:contextualSpacing/>
    </w:pPr>
  </w:style>
  <w:style w:type="paragraph" w:styleId="NormalWeb">
    <w:name w:val="Normal (Web)"/>
    <w:basedOn w:val="Normal"/>
    <w:uiPriority w:val="99"/>
    <w:unhideWhenUsed/>
    <w:rsid w:val="007E0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55C"/>
    <w:rPr>
      <w:b/>
      <w:bCs/>
    </w:rPr>
  </w:style>
  <w:style w:type="character" w:styleId="Hyperlink">
    <w:name w:val="Hyperlink"/>
    <w:basedOn w:val="DefaultParagraphFont"/>
    <w:uiPriority w:val="99"/>
    <w:unhideWhenUsed/>
    <w:rsid w:val="007E055C"/>
    <w:rPr>
      <w:color w:val="0000FF"/>
      <w:u w:val="single"/>
    </w:rPr>
  </w:style>
  <w:style w:type="paragraph" w:styleId="BodyText">
    <w:name w:val="Body Text"/>
    <w:basedOn w:val="Normal"/>
    <w:link w:val="BodyTextChar"/>
    <w:uiPriority w:val="1"/>
    <w:qFormat/>
    <w:rsid w:val="007E055C"/>
    <w:pPr>
      <w:widowControl w:val="0"/>
      <w:autoSpaceDE w:val="0"/>
      <w:autoSpaceDN w:val="0"/>
      <w:spacing w:after="0" w:line="240" w:lineRule="auto"/>
      <w:ind w:left="645"/>
    </w:pPr>
    <w:rPr>
      <w:rFonts w:ascii="Times New Roman" w:eastAsia="Times New Roman" w:hAnsi="Times New Roman" w:cs="Times New Roman"/>
      <w:sz w:val="26"/>
      <w:szCs w:val="26"/>
      <w:lang w:val="vi" w:eastAsia="en-US"/>
    </w:rPr>
  </w:style>
  <w:style w:type="character" w:customStyle="1" w:styleId="BodyTextChar">
    <w:name w:val="Body Text Char"/>
    <w:basedOn w:val="DefaultParagraphFont"/>
    <w:link w:val="BodyText"/>
    <w:uiPriority w:val="1"/>
    <w:rsid w:val="007E055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7E055C"/>
    <w:pPr>
      <w:widowControl w:val="0"/>
      <w:autoSpaceDE w:val="0"/>
      <w:autoSpaceDN w:val="0"/>
      <w:spacing w:after="0" w:line="240" w:lineRule="auto"/>
    </w:pPr>
    <w:rPr>
      <w:rFonts w:ascii="Times New Roman" w:eastAsia="Times New Roman" w:hAnsi="Times New Roman" w:cs="Times New Roman"/>
      <w:lang w:val="vi" w:eastAsia="en-US"/>
    </w:rPr>
  </w:style>
  <w:style w:type="character" w:styleId="Emphasis">
    <w:name w:val="Emphasis"/>
    <w:basedOn w:val="DefaultParagraphFont"/>
    <w:uiPriority w:val="20"/>
    <w:qFormat/>
    <w:rsid w:val="007E055C"/>
    <w:rPr>
      <w:i/>
      <w:iCs/>
    </w:rPr>
  </w:style>
  <w:style w:type="character" w:customStyle="1" w:styleId="UnresolvedMention">
    <w:name w:val="Unresolved Mention"/>
    <w:basedOn w:val="DefaultParagraphFont"/>
    <w:uiPriority w:val="99"/>
    <w:semiHidden/>
    <w:unhideWhenUsed/>
    <w:rsid w:val="00700F72"/>
    <w:rPr>
      <w:color w:val="605E5C"/>
      <w:shd w:val="clear" w:color="auto" w:fill="E1DFDD"/>
    </w:rPr>
  </w:style>
  <w:style w:type="paragraph" w:styleId="Header">
    <w:name w:val="header"/>
    <w:basedOn w:val="Normal"/>
    <w:link w:val="HeaderChar"/>
    <w:uiPriority w:val="99"/>
    <w:unhideWhenUsed/>
    <w:rsid w:val="0024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3C"/>
    <w:rPr>
      <w:rFonts w:eastAsiaTheme="minorEastAsia"/>
      <w:lang w:eastAsia="zh-TW"/>
    </w:rPr>
  </w:style>
  <w:style w:type="paragraph" w:styleId="Footer">
    <w:name w:val="footer"/>
    <w:basedOn w:val="Normal"/>
    <w:link w:val="FooterChar"/>
    <w:uiPriority w:val="99"/>
    <w:unhideWhenUsed/>
    <w:rsid w:val="0024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3C"/>
    <w:rPr>
      <w:rFonts w:eastAsiaTheme="minorEastAsia"/>
      <w:lang w:eastAsia="zh-TW"/>
    </w:rPr>
  </w:style>
  <w:style w:type="paragraph" w:styleId="BalloonText">
    <w:name w:val="Balloon Text"/>
    <w:basedOn w:val="Normal"/>
    <w:link w:val="BalloonTextChar"/>
    <w:uiPriority w:val="99"/>
    <w:semiHidden/>
    <w:unhideWhenUsed/>
    <w:rsid w:val="00DA5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916"/>
    <w:rPr>
      <w:rFonts w:ascii="Tahoma" w:eastAsiaTheme="minorEastAsia" w:hAnsi="Tahoma" w:cs="Tahoma"/>
      <w:sz w:val="16"/>
      <w:szCs w:val="16"/>
      <w:lang w:eastAsia="zh-TW"/>
    </w:rPr>
  </w:style>
  <w:style w:type="paragraph" w:customStyle="1" w:styleId="0NOIDUNG">
    <w:name w:val="0NOIDUNG"/>
    <w:basedOn w:val="Normal"/>
    <w:qFormat/>
    <w:rsid w:val="00DA5916"/>
    <w:pPr>
      <w:spacing w:before="200" w:after="0"/>
      <w:ind w:left="0" w:firstLine="0"/>
    </w:pPr>
    <w:rPr>
      <w:rFonts w:ascii="Times New Roman" w:eastAsiaTheme="minorHAnsi" w:hAnsi="Times New Roman"/>
      <w:sz w:val="26"/>
      <w:lang w:eastAsia="en-US"/>
    </w:rPr>
  </w:style>
  <w:style w:type="paragraph" w:customStyle="1" w:styleId="0BANG">
    <w:name w:val="0BANG"/>
    <w:basedOn w:val="Normal"/>
    <w:qFormat/>
    <w:rsid w:val="00DA5916"/>
    <w:pPr>
      <w:spacing w:before="120" w:after="240" w:line="240" w:lineRule="auto"/>
      <w:ind w:left="0" w:firstLine="0"/>
      <w:jc w:val="center"/>
    </w:pPr>
    <w:rPr>
      <w:rFonts w:ascii="Times New Roman" w:eastAsiaTheme="minorHAnsi" w:hAnsi="Times New Roman"/>
      <w:i/>
      <w:sz w:val="24"/>
      <w:lang w:eastAsia="en-US"/>
    </w:rPr>
  </w:style>
  <w:style w:type="paragraph" w:customStyle="1" w:styleId="0HINH">
    <w:name w:val="0HINH"/>
    <w:basedOn w:val="Normal"/>
    <w:qFormat/>
    <w:rsid w:val="00DA5916"/>
    <w:pPr>
      <w:spacing w:before="120" w:after="240" w:line="240" w:lineRule="auto"/>
      <w:ind w:left="0" w:firstLine="0"/>
      <w:jc w:val="center"/>
    </w:pPr>
    <w:rPr>
      <w:rFonts w:ascii="Times New Roman" w:eastAsiaTheme="minorHAnsi" w:hAnsi="Times New Roman"/>
      <w:i/>
      <w:sz w:val="24"/>
      <w:lang w:eastAsia="en-US"/>
    </w:rPr>
  </w:style>
  <w:style w:type="paragraph" w:customStyle="1" w:styleId="0SODO">
    <w:name w:val="0SODO"/>
    <w:basedOn w:val="Normal"/>
    <w:qFormat/>
    <w:rsid w:val="00DA5916"/>
    <w:pPr>
      <w:spacing w:before="120" w:after="240" w:line="240" w:lineRule="auto"/>
      <w:ind w:left="0" w:firstLine="0"/>
      <w:jc w:val="center"/>
    </w:pPr>
    <w:rPr>
      <w:rFonts w:ascii="Times New Roman" w:eastAsiaTheme="minorHAnsi" w:hAnsi="Times New Roman"/>
      <w:i/>
      <w:sz w:val="24"/>
      <w:lang w:eastAsia="en-US"/>
    </w:rPr>
  </w:style>
  <w:style w:type="paragraph" w:customStyle="1" w:styleId="0NGUON">
    <w:name w:val="0NGUON"/>
    <w:basedOn w:val="Normal"/>
    <w:qFormat/>
    <w:rsid w:val="00DA5916"/>
    <w:pPr>
      <w:spacing w:before="120" w:line="240" w:lineRule="auto"/>
      <w:ind w:left="0" w:firstLine="0"/>
      <w:jc w:val="right"/>
    </w:pPr>
    <w:rPr>
      <w:rFonts w:ascii="Times New Roman" w:eastAsiaTheme="minorHAnsi" w:hAnsi="Times New Roman"/>
      <w:i/>
      <w:sz w:val="24"/>
      <w:lang w:eastAsia="en-US"/>
    </w:rPr>
  </w:style>
  <w:style w:type="paragraph" w:customStyle="1" w:styleId="0LV1">
    <w:name w:val="0LV1"/>
    <w:basedOn w:val="Normal"/>
    <w:qFormat/>
    <w:rsid w:val="00DA5916"/>
    <w:pPr>
      <w:spacing w:before="480" w:after="480" w:line="240" w:lineRule="auto"/>
      <w:ind w:left="0" w:firstLine="0"/>
      <w:jc w:val="left"/>
    </w:pPr>
    <w:rPr>
      <w:rFonts w:ascii="Times New Roman" w:eastAsiaTheme="minorHAnsi" w:hAnsi="Times New Roman"/>
      <w:b/>
      <w:sz w:val="28"/>
      <w:lang w:eastAsia="en-US"/>
    </w:rPr>
  </w:style>
  <w:style w:type="paragraph" w:customStyle="1" w:styleId="0LV2">
    <w:name w:val="0LV2"/>
    <w:basedOn w:val="Normal"/>
    <w:qFormat/>
    <w:rsid w:val="00DA5916"/>
    <w:pPr>
      <w:spacing w:before="120" w:after="240" w:line="240" w:lineRule="auto"/>
      <w:ind w:left="0" w:firstLine="0"/>
      <w:jc w:val="left"/>
    </w:pPr>
    <w:rPr>
      <w:rFonts w:ascii="Times New Roman" w:eastAsiaTheme="minorHAnsi" w:hAnsi="Times New Roman"/>
      <w:b/>
      <w:sz w:val="26"/>
      <w:lang w:eastAsia="en-US"/>
    </w:rPr>
  </w:style>
  <w:style w:type="paragraph" w:customStyle="1" w:styleId="0LV3">
    <w:name w:val="0LV3"/>
    <w:basedOn w:val="Normal"/>
    <w:qFormat/>
    <w:rsid w:val="00DA5916"/>
    <w:pPr>
      <w:spacing w:before="120" w:after="240" w:line="240" w:lineRule="auto"/>
      <w:ind w:left="0" w:firstLine="0"/>
      <w:jc w:val="left"/>
    </w:pPr>
    <w:rPr>
      <w:rFonts w:ascii="Times New Roman" w:eastAsiaTheme="minorHAnsi" w:hAnsi="Times New Roman"/>
      <w:b/>
      <w:i/>
      <w:sz w:val="26"/>
      <w:lang w:eastAsia="en-US"/>
    </w:rPr>
  </w:style>
  <w:style w:type="paragraph" w:customStyle="1" w:styleId="0LV4">
    <w:name w:val="0LV4"/>
    <w:basedOn w:val="Normal"/>
    <w:qFormat/>
    <w:rsid w:val="00DA5916"/>
    <w:pPr>
      <w:spacing w:before="120" w:after="240" w:line="240" w:lineRule="auto"/>
      <w:ind w:left="0" w:firstLine="0"/>
      <w:jc w:val="left"/>
    </w:pPr>
    <w:rPr>
      <w:rFonts w:ascii="Times New Roman" w:eastAsiaTheme="minorHAnsi" w:hAnsi="Times New Roman"/>
      <w:i/>
      <w:sz w:val="26"/>
      <w:lang w:eastAsia="en-US"/>
    </w:rPr>
  </w:style>
  <w:style w:type="paragraph" w:customStyle="1" w:styleId="0BIEUDO">
    <w:name w:val="0BIEUDO"/>
    <w:basedOn w:val="0BANG"/>
    <w:qFormat/>
    <w:rsid w:val="00DA5916"/>
  </w:style>
  <w:style w:type="table" w:styleId="TableGrid">
    <w:name w:val="Table Grid"/>
    <w:basedOn w:val="TableNormal"/>
    <w:uiPriority w:val="39"/>
    <w:rsid w:val="00453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73CC4"/>
    <w:rPr>
      <w:rFonts w:asciiTheme="majorHAnsi" w:eastAsiaTheme="majorEastAsia" w:hAnsiTheme="majorHAnsi" w:cstheme="majorBidi"/>
      <w:b/>
      <w:bCs/>
      <w:color w:val="4472C4" w:themeColor="accent1"/>
      <w:sz w:val="26"/>
      <w:szCs w:val="26"/>
      <w:lang w:eastAsia="zh-TW"/>
    </w:rPr>
  </w:style>
  <w:style w:type="character" w:customStyle="1" w:styleId="Heading3Char">
    <w:name w:val="Heading 3 Char"/>
    <w:basedOn w:val="DefaultParagraphFont"/>
    <w:link w:val="Heading3"/>
    <w:uiPriority w:val="9"/>
    <w:semiHidden/>
    <w:rsid w:val="00B73CC4"/>
    <w:rPr>
      <w:rFonts w:asciiTheme="majorHAnsi" w:eastAsiaTheme="majorEastAsia" w:hAnsiTheme="majorHAnsi" w:cstheme="majorBidi"/>
      <w:b/>
      <w:bCs/>
      <w:color w:val="4472C4" w:themeColor="accent1"/>
      <w:lang w:eastAsia="zh-TW"/>
    </w:rPr>
  </w:style>
  <w:style w:type="paragraph" w:styleId="TOC1">
    <w:name w:val="toc 1"/>
    <w:basedOn w:val="Normal"/>
    <w:next w:val="Normal"/>
    <w:autoRedefine/>
    <w:uiPriority w:val="39"/>
    <w:unhideWhenUsed/>
    <w:rsid w:val="00B73CC4"/>
    <w:pPr>
      <w:spacing w:before="100" w:after="100" w:line="276" w:lineRule="auto"/>
      <w:ind w:left="0" w:firstLine="0"/>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hinh-sach/quyet-dinh-999-qd-ttg-2019-ve-de-an-thuc-day-mo-hinh-kinh-te-chia-se-176063-d1.html" TargetMode="External"/><Relationship Id="rId13" Type="http://schemas.openxmlformats.org/officeDocument/2006/relationships/image" Target="media/image3.png"/><Relationship Id="rId18" Type="http://schemas.openxmlformats.org/officeDocument/2006/relationships/hyperlink" Target="file:///C:\Users\Admin\Downloads\Lender.v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2pmarketdata.com/p2p-finance-worldwide-statistics/" TargetMode="External"/><Relationship Id="rId17" Type="http://schemas.openxmlformats.org/officeDocument/2006/relationships/hyperlink" Target="https://tapchinganhang.gov.vn/hoat-dong-cho-vay-ngang-hang-tai-viet-nam.htm?fbclid=IwAR26IjXyvJm_JsNCCsSCx0lsuaU8RfBducuMzXiMMEhoVRQwBN3pA1kxZ" TargetMode="External"/><Relationship Id="rId2" Type="http://schemas.openxmlformats.org/officeDocument/2006/relationships/numbering" Target="numbering.xml"/><Relationship Id="rId16" Type="http://schemas.openxmlformats.org/officeDocument/2006/relationships/hyperlink" Target="https://fiin.vn/blog/cho-vay-ngang-ha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yperlink" Target="https://p2pmarketdata.com" TargetMode="External"/><Relationship Id="rId4" Type="http://schemas.openxmlformats.org/officeDocument/2006/relationships/settings" Target="settings.xml"/><Relationship Id="rId9" Type="http://schemas.openxmlformats.org/officeDocument/2006/relationships/hyperlink" Target="https://thuvienphapluat.vn/van-ban/Tien-te-Ngan-hang/Quyet-dinh-810-QD-NHNN-2021-phe-duyet-Ke-hoach-Chuyen-doi-so-nganh-Ngan-hang-den-2025-474917.aspx" TargetMode="External"/><Relationship Id="rId14" Type="http://schemas.openxmlformats.org/officeDocument/2006/relationships/hyperlink" Target="file:///C:\Users\Admin\Downloads\Lender.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2EA0-A0E2-41D0-A13F-D3F6BBAC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9816</Words>
  <Characters>55952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ANH</dc:creator>
  <cp:keywords/>
  <dc:description/>
  <cp:lastModifiedBy>Admin</cp:lastModifiedBy>
  <cp:revision>3</cp:revision>
  <dcterms:created xsi:type="dcterms:W3CDTF">2023-05-07T14:35:00Z</dcterms:created>
  <dcterms:modified xsi:type="dcterms:W3CDTF">2023-06-07T13:20:00Z</dcterms:modified>
</cp:coreProperties>
</file>